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olors1.xml" ContentType="application/vnd.ms-office.chartcolorstyle+xml"/>
  <Override PartName="/word/charts/style1.xml" ContentType="application/vnd.ms-office.chartstyle+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Times New Roman" w:hAnsi="Times New Roman" w:eastAsia="黑体" w:cs="Times New Roman"/>
          <w:color w:val="auto"/>
          <w:sz w:val="30"/>
          <w:szCs w:val="30"/>
          <w:lang w:val="en-US" w:eastAsia="zh-CN"/>
        </w:rPr>
      </w:pPr>
      <w:r>
        <w:rPr>
          <w:rFonts w:hint="eastAsia" w:ascii="Times New Roman" w:hAnsi="Times New Roman" w:eastAsia="黑体" w:cs="Times New Roman"/>
          <w:color w:val="auto"/>
          <w:sz w:val="30"/>
          <w:szCs w:val="30"/>
          <w:lang w:val="en-US" w:eastAsia="zh-CN"/>
        </w:rPr>
        <w:drawing>
          <wp:inline distT="0" distB="0" distL="114300" distR="114300">
            <wp:extent cx="3550285" cy="1086485"/>
            <wp:effectExtent l="0" t="0" r="635" b="10795"/>
            <wp:docPr id="9" name="图片 9"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片1"/>
                    <pic:cNvPicPr>
                      <a:picLocks noChangeAspect="1"/>
                    </pic:cNvPicPr>
                  </pic:nvPicPr>
                  <pic:blipFill>
                    <a:blip r:embed="rId7"/>
                    <a:stretch>
                      <a:fillRect/>
                    </a:stretch>
                  </pic:blipFill>
                  <pic:spPr>
                    <a:xfrm>
                      <a:off x="0" y="0"/>
                      <a:ext cx="3550285" cy="108648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Times New Roman" w:hAnsi="Times New Roman" w:eastAsia="黑体" w:cs="Times New Roman"/>
          <w:color w:val="auto"/>
          <w:sz w:val="30"/>
          <w:szCs w:val="30"/>
          <w:lang w:val="en-US" w:eastAsia="zh-CN"/>
        </w:rPr>
      </w:pPr>
    </w:p>
    <w:p>
      <w:pPr>
        <w:jc w:val="both"/>
        <w:rPr>
          <w:rFonts w:hint="default" w:ascii="Times New Roman" w:hAnsi="Times New Roman" w:eastAsia="方正小标宋简体" w:cs="Times New Roman"/>
          <w:b/>
          <w:bCs/>
          <w:color w:val="auto"/>
          <w:sz w:val="84"/>
          <w:szCs w:val="84"/>
        </w:rPr>
      </w:pPr>
      <w:r>
        <w:rPr>
          <w:rFonts w:hint="default" w:ascii="Times New Roman" w:hAnsi="Times New Roman" w:eastAsia="方正小标宋简体" w:cs="Times New Roman"/>
          <w:b/>
          <w:bCs/>
          <w:color w:val="auto"/>
          <w:spacing w:val="-20"/>
          <w:sz w:val="60"/>
          <w:szCs w:val="60"/>
        </w:rPr>
        <w:t>202</w:t>
      </w:r>
      <w:r>
        <w:rPr>
          <w:rFonts w:hint="eastAsia" w:ascii="Times New Roman" w:hAnsi="Times New Roman" w:eastAsia="方正小标宋简体" w:cs="Times New Roman"/>
          <w:b/>
          <w:bCs/>
          <w:color w:val="auto"/>
          <w:spacing w:val="-20"/>
          <w:sz w:val="60"/>
          <w:szCs w:val="60"/>
          <w:lang w:val="en-US" w:eastAsia="zh-CN"/>
        </w:rPr>
        <w:t>3</w:t>
      </w:r>
      <w:r>
        <w:rPr>
          <w:rFonts w:hint="default" w:ascii="Times New Roman" w:hAnsi="Times New Roman" w:eastAsia="方正小标宋简体" w:cs="Times New Roman"/>
          <w:b/>
          <w:bCs/>
          <w:color w:val="auto"/>
          <w:spacing w:val="-20"/>
          <w:sz w:val="60"/>
          <w:szCs w:val="60"/>
        </w:rPr>
        <w:t>-202</w:t>
      </w:r>
      <w:r>
        <w:rPr>
          <w:rFonts w:hint="eastAsia" w:ascii="Times New Roman" w:hAnsi="Times New Roman" w:eastAsia="方正小标宋简体" w:cs="Times New Roman"/>
          <w:b/>
          <w:bCs/>
          <w:color w:val="auto"/>
          <w:spacing w:val="-20"/>
          <w:sz w:val="60"/>
          <w:szCs w:val="60"/>
          <w:lang w:val="en-US" w:eastAsia="zh-CN"/>
        </w:rPr>
        <w:t>4</w:t>
      </w:r>
      <w:r>
        <w:rPr>
          <w:rFonts w:hint="default" w:ascii="Times New Roman" w:hAnsi="Times New Roman" w:eastAsia="方正小标宋简体" w:cs="Times New Roman"/>
          <w:b/>
          <w:bCs/>
          <w:color w:val="auto"/>
          <w:spacing w:val="-20"/>
          <w:sz w:val="60"/>
          <w:szCs w:val="60"/>
        </w:rPr>
        <w:t>学年本科教学质量报告</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jc w:val="center"/>
        <w:rPr>
          <w:rFonts w:hint="default" w:ascii="Times New Roman" w:hAnsi="Times New Roman" w:eastAsia="方正小标宋简体" w:cs="Times New Roman"/>
          <w:color w:val="auto"/>
          <w:spacing w:val="-20"/>
          <w:sz w:val="40"/>
          <w:szCs w:val="40"/>
        </w:rPr>
      </w:pPr>
      <w:r>
        <w:rPr>
          <w:rFonts w:hint="default" w:ascii="Times New Roman" w:hAnsi="Times New Roman" w:eastAsia="方正小标宋简体" w:cs="Times New Roman"/>
          <w:b/>
          <w:bCs/>
          <w:color w:val="auto"/>
          <w:spacing w:val="-20"/>
          <w:sz w:val="40"/>
          <w:szCs w:val="40"/>
        </w:rPr>
        <w:t>二〇二</w:t>
      </w:r>
      <w:r>
        <w:rPr>
          <w:rFonts w:hint="eastAsia" w:ascii="Times New Roman" w:hAnsi="Times New Roman" w:eastAsia="方正小标宋简体" w:cs="Times New Roman"/>
          <w:b/>
          <w:bCs/>
          <w:color w:val="auto"/>
          <w:spacing w:val="-20"/>
          <w:sz w:val="40"/>
          <w:szCs w:val="40"/>
          <w:lang w:eastAsia="zh-CN"/>
        </w:rPr>
        <w:t>四</w:t>
      </w:r>
      <w:r>
        <w:rPr>
          <w:rFonts w:hint="default" w:ascii="Times New Roman" w:hAnsi="Times New Roman" w:eastAsia="方正小标宋简体" w:cs="Times New Roman"/>
          <w:b/>
          <w:bCs/>
          <w:color w:val="auto"/>
          <w:spacing w:val="-20"/>
          <w:sz w:val="40"/>
          <w:szCs w:val="40"/>
        </w:rPr>
        <w:t>年十</w:t>
      </w:r>
      <w:r>
        <w:rPr>
          <w:rFonts w:hint="eastAsia" w:ascii="Times New Roman" w:hAnsi="Times New Roman" w:eastAsia="方正小标宋简体" w:cs="Times New Roman"/>
          <w:b/>
          <w:bCs/>
          <w:color w:val="auto"/>
          <w:spacing w:val="-20"/>
          <w:sz w:val="40"/>
          <w:szCs w:val="40"/>
          <w:lang w:val="en-US" w:eastAsia="zh-CN"/>
        </w:rPr>
        <w:t>一</w:t>
      </w:r>
      <w:r>
        <w:rPr>
          <w:rFonts w:hint="default" w:ascii="Times New Roman" w:hAnsi="Times New Roman" w:eastAsia="方正小标宋简体" w:cs="Times New Roman"/>
          <w:b/>
          <w:bCs/>
          <w:color w:val="auto"/>
          <w:spacing w:val="-20"/>
          <w:sz w:val="40"/>
          <w:szCs w:val="40"/>
        </w:rPr>
        <w:t>月</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黑体" w:cs="Times New Roman"/>
          <w:color w:val="auto"/>
          <w:sz w:val="30"/>
          <w:szCs w:val="30"/>
          <w:lang w:val="en-US" w:eastAsia="zh-CN"/>
        </w:rPr>
      </w:pPr>
    </w:p>
    <w:p>
      <w:pPr>
        <w:pStyle w:val="3"/>
        <w:numPr>
          <w:ilvl w:val="1"/>
          <w:numId w:val="0"/>
        </w:numPr>
        <w:ind w:leftChars="0"/>
        <w:rPr>
          <w:rFonts w:hint="eastAsia"/>
          <w:lang w:val="en-US" w:eastAsia="zh-CN"/>
        </w:rPr>
      </w:pPr>
    </w:p>
    <w:sdt>
      <w:sdtPr>
        <w:rPr>
          <w:rFonts w:ascii="宋体" w:hAnsi="宋体" w:eastAsia="宋体" w:cs="Times New Roman"/>
          <w:kern w:val="2"/>
          <w:sz w:val="21"/>
          <w:szCs w:val="24"/>
          <w:lang w:val="en-US" w:eastAsia="zh-CN" w:bidi="ar-SA"/>
        </w:rPr>
        <w:id w:val="147468874"/>
        <w15:color w:val="DBDBDB"/>
        <w:docPartObj>
          <w:docPartGallery w:val="Table of Contents"/>
          <w:docPartUnique/>
        </w:docPartObj>
      </w:sdtPr>
      <w:sdtEndPr>
        <w:rPr>
          <w:rFonts w:ascii="Calibri" w:hAnsi="Calibri" w:eastAsia="宋体" w:cs="Times New Roman"/>
          <w:b/>
          <w:kern w:val="2"/>
          <w:sz w:val="21"/>
          <w:szCs w:val="24"/>
          <w:lang w:val="en-US" w:eastAsia="zh-CN" w:bidi="ar-SA"/>
        </w:rPr>
      </w:sdtEndPr>
      <w:sdtContent>
        <w:p>
          <w:pPr>
            <w:keepNext w:val="0"/>
            <w:keepLines w:val="0"/>
            <w:pageBreakBefore w:val="0"/>
            <w:widowControl w:val="0"/>
            <w:kinsoku/>
            <w:wordWrap/>
            <w:overflowPunct/>
            <w:topLinePunct w:val="0"/>
            <w:autoSpaceDE/>
            <w:autoSpaceDN/>
            <w:bidi w:val="0"/>
            <w:adjustRightInd/>
            <w:snapToGrid/>
            <w:spacing w:before="0" w:after="0" w:line="240" w:lineRule="auto"/>
            <w:ind w:left="0" w:leftChars="0" w:right="0" w:rightChars="0" w:firstLine="0" w:firstLineChars="0"/>
            <w:jc w:val="center"/>
            <w:textAlignment w:val="auto"/>
            <w:rPr>
              <w:rFonts w:hint="eastAsia" w:asciiTheme="minorEastAsia" w:hAnsiTheme="minorEastAsia" w:eastAsiaTheme="minorEastAsia" w:cstheme="minorEastAsia"/>
              <w:b/>
              <w:bCs/>
              <w:sz w:val="28"/>
              <w:szCs w:val="28"/>
            </w:rPr>
          </w:pPr>
          <w:r>
            <w:rPr>
              <w:rFonts w:hint="eastAsia" w:asciiTheme="minorEastAsia" w:hAnsiTheme="minorEastAsia" w:eastAsiaTheme="minorEastAsia" w:cstheme="minorEastAsia"/>
              <w:b/>
              <w:bCs/>
              <w:sz w:val="28"/>
              <w:szCs w:val="28"/>
            </w:rPr>
            <w:t>目录</w:t>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TOC \o "1-2" \h \u </w:instrText>
          </w:r>
          <w:r>
            <w:rPr>
              <w:rFonts w:hint="eastAsia" w:asciiTheme="minorEastAsia" w:hAnsiTheme="minorEastAsia" w:eastAsiaTheme="minorEastAsia" w:cstheme="minorEastAsia"/>
              <w:sz w:val="28"/>
              <w:szCs w:val="28"/>
            </w:rPr>
            <w:fldChar w:fldCharType="separate"/>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_Toc6390 </w:instrText>
          </w:r>
          <w:r>
            <w:rPr>
              <w:rFonts w:hint="eastAsia" w:ascii="宋体" w:hAnsi="宋体" w:eastAsia="宋体" w:cs="宋体"/>
              <w:sz w:val="24"/>
              <w:szCs w:val="24"/>
            </w:rPr>
            <w:fldChar w:fldCharType="separate"/>
          </w:r>
          <w:r>
            <w:rPr>
              <w:rFonts w:hint="eastAsia" w:ascii="宋体" w:hAnsi="宋体" w:eastAsia="宋体" w:cs="宋体"/>
              <w:sz w:val="24"/>
              <w:szCs w:val="24"/>
              <w:lang w:val="en-US" w:eastAsia="zh-CN"/>
            </w:rPr>
            <w:t>学校概况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_Toc6390 \h </w:instrText>
          </w:r>
          <w:r>
            <w:rPr>
              <w:rFonts w:hint="eastAsia" w:ascii="宋体" w:hAnsi="宋体" w:eastAsia="宋体" w:cs="宋体"/>
              <w:sz w:val="24"/>
              <w:szCs w:val="24"/>
            </w:rPr>
            <w:fldChar w:fldCharType="separate"/>
          </w:r>
          <w:r>
            <w:rPr>
              <w:rFonts w:hint="eastAsia" w:ascii="宋体" w:hAnsi="宋体" w:eastAsia="宋体" w:cs="宋体"/>
              <w:sz w:val="24"/>
              <w:szCs w:val="24"/>
            </w:rPr>
            <w:t>1</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_Toc2093 </w:instrText>
          </w:r>
          <w:r>
            <w:rPr>
              <w:rFonts w:hint="eastAsia" w:ascii="宋体" w:hAnsi="宋体" w:eastAsia="宋体" w:cs="宋体"/>
              <w:sz w:val="24"/>
              <w:szCs w:val="24"/>
            </w:rPr>
            <w:fldChar w:fldCharType="separate"/>
          </w:r>
          <w:r>
            <w:rPr>
              <w:rFonts w:hint="eastAsia" w:ascii="宋体" w:hAnsi="宋体" w:eastAsia="宋体" w:cs="宋体"/>
              <w:sz w:val="24"/>
              <w:szCs w:val="24"/>
            </w:rPr>
            <w:t>一、本科教育基本情况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_Toc2093 \h </w:instrText>
          </w:r>
          <w:r>
            <w:rPr>
              <w:rFonts w:hint="eastAsia" w:ascii="宋体" w:hAnsi="宋体" w:eastAsia="宋体" w:cs="宋体"/>
              <w:sz w:val="24"/>
              <w:szCs w:val="24"/>
            </w:rPr>
            <w:fldChar w:fldCharType="separate"/>
          </w:r>
          <w:r>
            <w:rPr>
              <w:rFonts w:hint="eastAsia" w:ascii="宋体" w:hAnsi="宋体" w:eastAsia="宋体" w:cs="宋体"/>
              <w:sz w:val="24"/>
              <w:szCs w:val="24"/>
            </w:rPr>
            <w:t>1</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_Toc15682 </w:instrText>
          </w:r>
          <w:r>
            <w:rPr>
              <w:rFonts w:hint="eastAsia" w:ascii="宋体" w:hAnsi="宋体" w:eastAsia="宋体" w:cs="宋体"/>
              <w:sz w:val="24"/>
              <w:szCs w:val="24"/>
            </w:rPr>
            <w:fldChar w:fldCharType="separate"/>
          </w:r>
          <w:r>
            <w:rPr>
              <w:rFonts w:hint="eastAsia" w:ascii="宋体" w:hAnsi="宋体" w:eastAsia="宋体" w:cs="宋体"/>
              <w:sz w:val="24"/>
              <w:szCs w:val="24"/>
            </w:rPr>
            <w:t>（一）人才培养目标及服务面向</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_Toc15682 \h </w:instrText>
          </w:r>
          <w:r>
            <w:rPr>
              <w:rFonts w:hint="eastAsia" w:ascii="宋体" w:hAnsi="宋体" w:eastAsia="宋体" w:cs="宋体"/>
              <w:sz w:val="24"/>
              <w:szCs w:val="24"/>
            </w:rPr>
            <w:fldChar w:fldCharType="separate"/>
          </w:r>
          <w:r>
            <w:rPr>
              <w:rFonts w:hint="eastAsia" w:ascii="宋体" w:hAnsi="宋体" w:eastAsia="宋体" w:cs="宋体"/>
              <w:sz w:val="24"/>
              <w:szCs w:val="24"/>
            </w:rPr>
            <w:t>1</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_Toc75 </w:instrText>
          </w:r>
          <w:r>
            <w:rPr>
              <w:rFonts w:hint="eastAsia" w:ascii="宋体" w:hAnsi="宋体" w:eastAsia="宋体" w:cs="宋体"/>
              <w:sz w:val="24"/>
              <w:szCs w:val="24"/>
            </w:rPr>
            <w:fldChar w:fldCharType="separate"/>
          </w:r>
          <w:r>
            <w:rPr>
              <w:rFonts w:hint="eastAsia" w:ascii="宋体" w:hAnsi="宋体" w:eastAsia="宋体" w:cs="宋体"/>
              <w:sz w:val="24"/>
              <w:szCs w:val="24"/>
            </w:rPr>
            <w:t>（</w:t>
          </w:r>
          <w:r>
            <w:rPr>
              <w:rFonts w:hint="eastAsia" w:ascii="宋体" w:hAnsi="宋体" w:eastAsia="宋体" w:cs="宋体"/>
              <w:sz w:val="24"/>
              <w:szCs w:val="24"/>
              <w:lang w:val="en-US" w:eastAsia="zh-CN"/>
            </w:rPr>
            <w:t>二</w:t>
          </w:r>
          <w:r>
            <w:rPr>
              <w:rFonts w:hint="eastAsia" w:ascii="宋体" w:hAnsi="宋体" w:eastAsia="宋体" w:cs="宋体"/>
              <w:sz w:val="24"/>
              <w:szCs w:val="24"/>
            </w:rPr>
            <w:t>）</w:t>
          </w:r>
          <w:r>
            <w:rPr>
              <w:rFonts w:hint="eastAsia" w:ascii="宋体" w:hAnsi="宋体" w:eastAsia="宋体" w:cs="宋体"/>
              <w:sz w:val="24"/>
              <w:szCs w:val="24"/>
              <w:lang w:val="en-US" w:eastAsia="zh-CN"/>
            </w:rPr>
            <w:t>本科</w:t>
          </w:r>
          <w:r>
            <w:rPr>
              <w:rFonts w:hint="eastAsia" w:ascii="宋体" w:hAnsi="宋体" w:eastAsia="宋体" w:cs="宋体"/>
              <w:sz w:val="24"/>
              <w:szCs w:val="24"/>
            </w:rPr>
            <w:t>专业设置</w:t>
          </w:r>
          <w:r>
            <w:rPr>
              <w:rFonts w:hint="eastAsia" w:ascii="宋体" w:hAnsi="宋体" w:eastAsia="宋体" w:cs="宋体"/>
              <w:sz w:val="24"/>
              <w:szCs w:val="24"/>
              <w:lang w:val="en-US" w:eastAsia="zh-CN"/>
            </w:rPr>
            <w:t>情况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_Toc75 \h </w:instrText>
          </w:r>
          <w:r>
            <w:rPr>
              <w:rFonts w:hint="eastAsia" w:ascii="宋体" w:hAnsi="宋体" w:eastAsia="宋体" w:cs="宋体"/>
              <w:sz w:val="24"/>
              <w:szCs w:val="24"/>
            </w:rPr>
            <w:fldChar w:fldCharType="separate"/>
          </w:r>
          <w:r>
            <w:rPr>
              <w:rFonts w:hint="eastAsia" w:ascii="宋体" w:hAnsi="宋体" w:eastAsia="宋体" w:cs="宋体"/>
              <w:sz w:val="24"/>
              <w:szCs w:val="24"/>
            </w:rPr>
            <w:t>2</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_Toc4359 </w:instrText>
          </w:r>
          <w:r>
            <w:rPr>
              <w:rFonts w:hint="eastAsia" w:ascii="宋体" w:hAnsi="宋体" w:eastAsia="宋体" w:cs="宋体"/>
              <w:sz w:val="24"/>
              <w:szCs w:val="24"/>
            </w:rPr>
            <w:fldChar w:fldCharType="separate"/>
          </w:r>
          <w:r>
            <w:rPr>
              <w:rFonts w:hint="eastAsia" w:ascii="宋体" w:hAnsi="宋体" w:eastAsia="宋体" w:cs="宋体"/>
              <w:sz w:val="24"/>
              <w:szCs w:val="24"/>
            </w:rPr>
            <w:t>（三）</w:t>
          </w:r>
          <w:r>
            <w:rPr>
              <w:rFonts w:hint="eastAsia" w:ascii="宋体" w:hAnsi="宋体" w:eastAsia="宋体" w:cs="宋体"/>
              <w:sz w:val="24"/>
              <w:szCs w:val="24"/>
              <w:lang w:val="en-US" w:eastAsia="zh-CN"/>
            </w:rPr>
            <w:t>全日制</w:t>
          </w:r>
          <w:r>
            <w:rPr>
              <w:rFonts w:hint="eastAsia" w:ascii="宋体" w:hAnsi="宋体" w:eastAsia="宋体" w:cs="宋体"/>
              <w:sz w:val="24"/>
              <w:szCs w:val="24"/>
            </w:rPr>
            <w:t>在校生情况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_Toc4359 \h </w:instrText>
          </w:r>
          <w:r>
            <w:rPr>
              <w:rFonts w:hint="eastAsia" w:ascii="宋体" w:hAnsi="宋体" w:eastAsia="宋体" w:cs="宋体"/>
              <w:sz w:val="24"/>
              <w:szCs w:val="24"/>
            </w:rPr>
            <w:fldChar w:fldCharType="separate"/>
          </w:r>
          <w:r>
            <w:rPr>
              <w:rFonts w:hint="eastAsia" w:ascii="宋体" w:hAnsi="宋体" w:eastAsia="宋体" w:cs="宋体"/>
              <w:sz w:val="24"/>
              <w:szCs w:val="24"/>
            </w:rPr>
            <w:t>3</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_Toc3901 </w:instrText>
          </w:r>
          <w:r>
            <w:rPr>
              <w:rFonts w:hint="eastAsia" w:ascii="宋体" w:hAnsi="宋体" w:eastAsia="宋体" w:cs="宋体"/>
              <w:sz w:val="24"/>
              <w:szCs w:val="24"/>
            </w:rPr>
            <w:fldChar w:fldCharType="separate"/>
          </w:r>
          <w:r>
            <w:rPr>
              <w:rFonts w:hint="eastAsia" w:ascii="宋体" w:hAnsi="宋体" w:eastAsia="宋体" w:cs="宋体"/>
              <w:sz w:val="24"/>
              <w:szCs w:val="24"/>
            </w:rPr>
            <w:t>（四）本科生源质量情况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_Toc3901 \h </w:instrText>
          </w:r>
          <w:r>
            <w:rPr>
              <w:rFonts w:hint="eastAsia" w:ascii="宋体" w:hAnsi="宋体" w:eastAsia="宋体" w:cs="宋体"/>
              <w:sz w:val="24"/>
              <w:szCs w:val="24"/>
            </w:rPr>
            <w:fldChar w:fldCharType="separate"/>
          </w:r>
          <w:r>
            <w:rPr>
              <w:rFonts w:hint="eastAsia" w:ascii="宋体" w:hAnsi="宋体" w:eastAsia="宋体" w:cs="宋体"/>
              <w:sz w:val="24"/>
              <w:szCs w:val="24"/>
            </w:rPr>
            <w:t>3</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_Toc2440 </w:instrText>
          </w:r>
          <w:r>
            <w:rPr>
              <w:rFonts w:hint="eastAsia" w:ascii="宋体" w:hAnsi="宋体" w:eastAsia="宋体" w:cs="宋体"/>
              <w:sz w:val="24"/>
              <w:szCs w:val="24"/>
            </w:rPr>
            <w:fldChar w:fldCharType="separate"/>
          </w:r>
          <w:r>
            <w:rPr>
              <w:rFonts w:hint="eastAsia" w:ascii="宋体" w:hAnsi="宋体" w:eastAsia="宋体" w:cs="宋体"/>
              <w:sz w:val="24"/>
              <w:szCs w:val="24"/>
              <w:lang w:val="en-US" w:eastAsia="zh-CN"/>
            </w:rPr>
            <w:t>二、师资与教学条件</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_Toc2440 \h </w:instrText>
          </w:r>
          <w:r>
            <w:rPr>
              <w:rFonts w:hint="eastAsia" w:ascii="宋体" w:hAnsi="宋体" w:eastAsia="宋体" w:cs="宋体"/>
              <w:sz w:val="24"/>
              <w:szCs w:val="24"/>
            </w:rPr>
            <w:fldChar w:fldCharType="separate"/>
          </w:r>
          <w:r>
            <w:rPr>
              <w:rFonts w:hint="eastAsia" w:ascii="宋体" w:hAnsi="宋体" w:eastAsia="宋体" w:cs="宋体"/>
              <w:sz w:val="24"/>
              <w:szCs w:val="24"/>
            </w:rPr>
            <w:t>4</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_Toc26960 </w:instrText>
          </w:r>
          <w:r>
            <w:rPr>
              <w:rFonts w:hint="eastAsia" w:ascii="宋体" w:hAnsi="宋体" w:eastAsia="宋体" w:cs="宋体"/>
              <w:sz w:val="24"/>
              <w:szCs w:val="24"/>
            </w:rPr>
            <w:fldChar w:fldCharType="separate"/>
          </w:r>
          <w:r>
            <w:rPr>
              <w:rFonts w:hint="eastAsia" w:ascii="宋体" w:hAnsi="宋体" w:eastAsia="宋体" w:cs="宋体"/>
              <w:sz w:val="24"/>
              <w:szCs w:val="24"/>
              <w:highlight w:val="none"/>
              <w:lang w:val="en-US" w:eastAsia="zh-CN"/>
            </w:rPr>
            <w:t>（一）师资队伍数量及结构情况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_Toc26960 \h </w:instrText>
          </w:r>
          <w:r>
            <w:rPr>
              <w:rFonts w:hint="eastAsia" w:ascii="宋体" w:hAnsi="宋体" w:eastAsia="宋体" w:cs="宋体"/>
              <w:sz w:val="24"/>
              <w:szCs w:val="24"/>
            </w:rPr>
            <w:fldChar w:fldCharType="separate"/>
          </w:r>
          <w:r>
            <w:rPr>
              <w:rFonts w:hint="eastAsia" w:ascii="宋体" w:hAnsi="宋体" w:eastAsia="宋体" w:cs="宋体"/>
              <w:sz w:val="24"/>
              <w:szCs w:val="24"/>
            </w:rPr>
            <w:t>4</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_Toc5546 </w:instrText>
          </w:r>
          <w:r>
            <w:rPr>
              <w:rFonts w:hint="eastAsia" w:ascii="宋体" w:hAnsi="宋体" w:eastAsia="宋体" w:cs="宋体"/>
              <w:sz w:val="24"/>
              <w:szCs w:val="24"/>
            </w:rPr>
            <w:fldChar w:fldCharType="separate"/>
          </w:r>
          <w:r>
            <w:rPr>
              <w:rFonts w:hint="eastAsia" w:ascii="宋体" w:hAnsi="宋体" w:eastAsia="宋体" w:cs="宋体"/>
              <w:sz w:val="24"/>
              <w:szCs w:val="24"/>
              <w:highlight w:val="none"/>
              <w:lang w:val="en-US" w:eastAsia="zh-CN"/>
            </w:rPr>
            <w:t>（二）教授承担本科课程情况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_Toc5546 \h </w:instrText>
          </w:r>
          <w:r>
            <w:rPr>
              <w:rFonts w:hint="eastAsia" w:ascii="宋体" w:hAnsi="宋体" w:eastAsia="宋体" w:cs="宋体"/>
              <w:sz w:val="24"/>
              <w:szCs w:val="24"/>
            </w:rPr>
            <w:fldChar w:fldCharType="separate"/>
          </w:r>
          <w:r>
            <w:rPr>
              <w:rFonts w:hint="eastAsia" w:ascii="宋体" w:hAnsi="宋体" w:eastAsia="宋体" w:cs="宋体"/>
              <w:sz w:val="24"/>
              <w:szCs w:val="24"/>
            </w:rPr>
            <w:t>7</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_Toc18040 </w:instrText>
          </w:r>
          <w:r>
            <w:rPr>
              <w:rFonts w:hint="eastAsia" w:ascii="宋体" w:hAnsi="宋体" w:eastAsia="宋体" w:cs="宋体"/>
              <w:sz w:val="24"/>
              <w:szCs w:val="24"/>
            </w:rPr>
            <w:fldChar w:fldCharType="separate"/>
          </w:r>
          <w:r>
            <w:rPr>
              <w:rFonts w:hint="eastAsia" w:ascii="宋体" w:hAnsi="宋体" w:eastAsia="宋体" w:cs="宋体"/>
              <w:sz w:val="24"/>
              <w:szCs w:val="24"/>
              <w:lang w:val="en-US" w:eastAsia="zh-CN"/>
            </w:rPr>
            <w:t>（三）教师教学发展情况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_Toc18040 \h </w:instrText>
          </w:r>
          <w:r>
            <w:rPr>
              <w:rFonts w:hint="eastAsia" w:ascii="宋体" w:hAnsi="宋体" w:eastAsia="宋体" w:cs="宋体"/>
              <w:sz w:val="24"/>
              <w:szCs w:val="24"/>
            </w:rPr>
            <w:fldChar w:fldCharType="separate"/>
          </w:r>
          <w:r>
            <w:rPr>
              <w:rFonts w:hint="eastAsia" w:ascii="宋体" w:hAnsi="宋体" w:eastAsia="宋体" w:cs="宋体"/>
              <w:sz w:val="24"/>
              <w:szCs w:val="24"/>
            </w:rPr>
            <w:t>7</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_Toc1963 </w:instrText>
          </w:r>
          <w:r>
            <w:rPr>
              <w:rFonts w:hint="eastAsia" w:ascii="宋体" w:hAnsi="宋体" w:eastAsia="宋体" w:cs="宋体"/>
              <w:sz w:val="24"/>
              <w:szCs w:val="24"/>
            </w:rPr>
            <w:fldChar w:fldCharType="separate"/>
          </w:r>
          <w:r>
            <w:rPr>
              <w:rFonts w:hint="eastAsia" w:ascii="宋体" w:hAnsi="宋体" w:eastAsia="宋体" w:cs="宋体"/>
              <w:sz w:val="24"/>
              <w:szCs w:val="24"/>
              <w:lang w:val="en-US" w:eastAsia="zh-CN"/>
            </w:rPr>
            <w:t>（四）教学经费投入情况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_Toc1963 \h </w:instrText>
          </w:r>
          <w:r>
            <w:rPr>
              <w:rFonts w:hint="eastAsia" w:ascii="宋体" w:hAnsi="宋体" w:eastAsia="宋体" w:cs="宋体"/>
              <w:sz w:val="24"/>
              <w:szCs w:val="24"/>
            </w:rPr>
            <w:fldChar w:fldCharType="separate"/>
          </w:r>
          <w:r>
            <w:rPr>
              <w:rFonts w:hint="eastAsia" w:ascii="宋体" w:hAnsi="宋体" w:eastAsia="宋体" w:cs="宋体"/>
              <w:sz w:val="24"/>
              <w:szCs w:val="24"/>
            </w:rPr>
            <w:t>7</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_Toc10667 </w:instrText>
          </w:r>
          <w:r>
            <w:rPr>
              <w:rFonts w:hint="eastAsia" w:ascii="宋体" w:hAnsi="宋体" w:eastAsia="宋体" w:cs="宋体"/>
              <w:sz w:val="24"/>
              <w:szCs w:val="24"/>
            </w:rPr>
            <w:fldChar w:fldCharType="separate"/>
          </w:r>
          <w:r>
            <w:rPr>
              <w:rFonts w:hint="eastAsia" w:ascii="宋体" w:hAnsi="宋体" w:eastAsia="宋体" w:cs="宋体"/>
              <w:sz w:val="24"/>
              <w:szCs w:val="24"/>
              <w:lang w:val="en-US" w:eastAsia="zh-CN"/>
            </w:rPr>
            <w:t>（五）教学条件与利用</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_Toc10667 \h </w:instrText>
          </w:r>
          <w:r>
            <w:rPr>
              <w:rFonts w:hint="eastAsia" w:ascii="宋体" w:hAnsi="宋体" w:eastAsia="宋体" w:cs="宋体"/>
              <w:sz w:val="24"/>
              <w:szCs w:val="24"/>
            </w:rPr>
            <w:fldChar w:fldCharType="separate"/>
          </w:r>
          <w:r>
            <w:rPr>
              <w:rFonts w:hint="eastAsia" w:ascii="宋体" w:hAnsi="宋体" w:eastAsia="宋体" w:cs="宋体"/>
              <w:sz w:val="24"/>
              <w:szCs w:val="24"/>
            </w:rPr>
            <w:t>8</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_Toc12692 </w:instrText>
          </w:r>
          <w:r>
            <w:rPr>
              <w:rFonts w:hint="eastAsia" w:ascii="宋体" w:hAnsi="宋体" w:eastAsia="宋体" w:cs="宋体"/>
              <w:sz w:val="24"/>
              <w:szCs w:val="24"/>
            </w:rPr>
            <w:fldChar w:fldCharType="separate"/>
          </w:r>
          <w:r>
            <w:rPr>
              <w:rFonts w:hint="eastAsia" w:ascii="宋体" w:hAnsi="宋体" w:eastAsia="宋体" w:cs="宋体"/>
              <w:sz w:val="24"/>
              <w:szCs w:val="24"/>
            </w:rPr>
            <w:t>三、教学建设与改革</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_Toc12692 \h </w:instrText>
          </w:r>
          <w:r>
            <w:rPr>
              <w:rFonts w:hint="eastAsia" w:ascii="宋体" w:hAnsi="宋体" w:eastAsia="宋体" w:cs="宋体"/>
              <w:sz w:val="24"/>
              <w:szCs w:val="24"/>
            </w:rPr>
            <w:fldChar w:fldCharType="separate"/>
          </w:r>
          <w:r>
            <w:rPr>
              <w:rFonts w:hint="eastAsia" w:ascii="宋体" w:hAnsi="宋体" w:eastAsia="宋体" w:cs="宋体"/>
              <w:sz w:val="24"/>
              <w:szCs w:val="24"/>
            </w:rPr>
            <w:t>8</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_Toc13327 </w:instrText>
          </w:r>
          <w:r>
            <w:rPr>
              <w:rFonts w:hint="eastAsia" w:ascii="宋体" w:hAnsi="宋体" w:eastAsia="宋体" w:cs="宋体"/>
              <w:sz w:val="24"/>
              <w:szCs w:val="24"/>
            </w:rPr>
            <w:fldChar w:fldCharType="separate"/>
          </w:r>
          <w:r>
            <w:rPr>
              <w:rFonts w:hint="eastAsia" w:ascii="宋体" w:hAnsi="宋体" w:eastAsia="宋体" w:cs="宋体"/>
              <w:sz w:val="24"/>
              <w:szCs w:val="24"/>
            </w:rPr>
            <w:t>（一）专业建设</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_Toc13327 \h </w:instrText>
          </w:r>
          <w:r>
            <w:rPr>
              <w:rFonts w:hint="eastAsia" w:ascii="宋体" w:hAnsi="宋体" w:eastAsia="宋体" w:cs="宋体"/>
              <w:sz w:val="24"/>
              <w:szCs w:val="24"/>
            </w:rPr>
            <w:fldChar w:fldCharType="separate"/>
          </w:r>
          <w:r>
            <w:rPr>
              <w:rFonts w:hint="eastAsia" w:ascii="宋体" w:hAnsi="宋体" w:eastAsia="宋体" w:cs="宋体"/>
              <w:sz w:val="24"/>
              <w:szCs w:val="24"/>
            </w:rPr>
            <w:t>8</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_Toc29226 </w:instrText>
          </w:r>
          <w:r>
            <w:rPr>
              <w:rFonts w:hint="eastAsia" w:ascii="宋体" w:hAnsi="宋体" w:eastAsia="宋体" w:cs="宋体"/>
              <w:sz w:val="24"/>
              <w:szCs w:val="24"/>
            </w:rPr>
            <w:fldChar w:fldCharType="separate"/>
          </w:r>
          <w:r>
            <w:rPr>
              <w:rFonts w:hint="eastAsia" w:ascii="宋体" w:hAnsi="宋体" w:eastAsia="宋体" w:cs="宋体"/>
              <w:sz w:val="24"/>
              <w:szCs w:val="24"/>
            </w:rPr>
            <w:t>（二）课程建设</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_Toc29226 \h </w:instrText>
          </w:r>
          <w:r>
            <w:rPr>
              <w:rFonts w:hint="eastAsia" w:ascii="宋体" w:hAnsi="宋体" w:eastAsia="宋体" w:cs="宋体"/>
              <w:sz w:val="24"/>
              <w:szCs w:val="24"/>
            </w:rPr>
            <w:fldChar w:fldCharType="separate"/>
          </w:r>
          <w:r>
            <w:rPr>
              <w:rFonts w:hint="eastAsia" w:ascii="宋体" w:hAnsi="宋体" w:eastAsia="宋体" w:cs="宋体"/>
              <w:sz w:val="24"/>
              <w:szCs w:val="24"/>
            </w:rPr>
            <w:t>9</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_Toc27306 </w:instrText>
          </w:r>
          <w:r>
            <w:rPr>
              <w:rFonts w:hint="eastAsia" w:ascii="宋体" w:hAnsi="宋体" w:eastAsia="宋体" w:cs="宋体"/>
              <w:sz w:val="24"/>
              <w:szCs w:val="24"/>
            </w:rPr>
            <w:fldChar w:fldCharType="separate"/>
          </w:r>
          <w:r>
            <w:rPr>
              <w:rFonts w:hint="eastAsia" w:ascii="宋体" w:hAnsi="宋体" w:eastAsia="宋体" w:cs="宋体"/>
              <w:sz w:val="24"/>
              <w:szCs w:val="24"/>
            </w:rPr>
            <w:t>（三）实践教学</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_Toc27306 \h </w:instrText>
          </w:r>
          <w:r>
            <w:rPr>
              <w:rFonts w:hint="eastAsia" w:ascii="宋体" w:hAnsi="宋体" w:eastAsia="宋体" w:cs="宋体"/>
              <w:sz w:val="24"/>
              <w:szCs w:val="24"/>
            </w:rPr>
            <w:fldChar w:fldCharType="separate"/>
          </w:r>
          <w:r>
            <w:rPr>
              <w:rFonts w:hint="eastAsia" w:ascii="宋体" w:hAnsi="宋体" w:eastAsia="宋体" w:cs="宋体"/>
              <w:sz w:val="24"/>
              <w:szCs w:val="24"/>
            </w:rPr>
            <w:t>11</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_Toc7781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（四）教材建设</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_Toc7781 \h </w:instrText>
          </w:r>
          <w:r>
            <w:rPr>
              <w:rFonts w:hint="eastAsia" w:ascii="宋体" w:hAnsi="宋体" w:eastAsia="宋体" w:cs="宋体"/>
              <w:sz w:val="24"/>
              <w:szCs w:val="24"/>
            </w:rPr>
            <w:fldChar w:fldCharType="separate"/>
          </w:r>
          <w:r>
            <w:rPr>
              <w:rFonts w:hint="eastAsia" w:ascii="宋体" w:hAnsi="宋体" w:eastAsia="宋体" w:cs="宋体"/>
              <w:sz w:val="24"/>
              <w:szCs w:val="24"/>
            </w:rPr>
            <w:t>15</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_Toc19057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（五）创新创业教育</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_Toc19057 \h </w:instrText>
          </w:r>
          <w:r>
            <w:rPr>
              <w:rFonts w:hint="eastAsia" w:ascii="宋体" w:hAnsi="宋体" w:eastAsia="宋体" w:cs="宋体"/>
              <w:sz w:val="24"/>
              <w:szCs w:val="24"/>
            </w:rPr>
            <w:fldChar w:fldCharType="separate"/>
          </w:r>
          <w:r>
            <w:rPr>
              <w:rFonts w:hint="eastAsia" w:ascii="宋体" w:hAnsi="宋体" w:eastAsia="宋体" w:cs="宋体"/>
              <w:sz w:val="24"/>
              <w:szCs w:val="24"/>
            </w:rPr>
            <w:t>15</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_Toc21441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（六）教学改革</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_Toc21441 \h </w:instrText>
          </w:r>
          <w:r>
            <w:rPr>
              <w:rFonts w:hint="eastAsia" w:ascii="宋体" w:hAnsi="宋体" w:eastAsia="宋体" w:cs="宋体"/>
              <w:sz w:val="24"/>
              <w:szCs w:val="24"/>
            </w:rPr>
            <w:fldChar w:fldCharType="separate"/>
          </w:r>
          <w:r>
            <w:rPr>
              <w:rFonts w:hint="eastAsia" w:ascii="宋体" w:hAnsi="宋体" w:eastAsia="宋体" w:cs="宋体"/>
              <w:sz w:val="24"/>
              <w:szCs w:val="24"/>
            </w:rPr>
            <w:t>17</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_Toc9705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四、专业培养能力</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_Toc9705 \h </w:instrText>
          </w:r>
          <w:r>
            <w:rPr>
              <w:rFonts w:hint="eastAsia" w:ascii="宋体" w:hAnsi="宋体" w:eastAsia="宋体" w:cs="宋体"/>
              <w:sz w:val="24"/>
              <w:szCs w:val="24"/>
            </w:rPr>
            <w:fldChar w:fldCharType="separate"/>
          </w:r>
          <w:r>
            <w:rPr>
              <w:rFonts w:hint="eastAsia" w:ascii="宋体" w:hAnsi="宋体" w:eastAsia="宋体" w:cs="宋体"/>
              <w:sz w:val="24"/>
              <w:szCs w:val="24"/>
            </w:rPr>
            <w:t>17</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_Toc25051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（一）专业培养目标</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_Toc25051 \h </w:instrText>
          </w:r>
          <w:r>
            <w:rPr>
              <w:rFonts w:hint="eastAsia" w:ascii="宋体" w:hAnsi="宋体" w:eastAsia="宋体" w:cs="宋体"/>
              <w:sz w:val="24"/>
              <w:szCs w:val="24"/>
            </w:rPr>
            <w:fldChar w:fldCharType="separate"/>
          </w:r>
          <w:r>
            <w:rPr>
              <w:rFonts w:hint="eastAsia" w:ascii="宋体" w:hAnsi="宋体" w:eastAsia="宋体" w:cs="宋体"/>
              <w:sz w:val="24"/>
              <w:szCs w:val="24"/>
            </w:rPr>
            <w:t>18</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_Toc24758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（二）专业培养方案</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_Toc24758 \h </w:instrText>
          </w:r>
          <w:r>
            <w:rPr>
              <w:rFonts w:hint="eastAsia" w:ascii="宋体" w:hAnsi="宋体" w:eastAsia="宋体" w:cs="宋体"/>
              <w:sz w:val="24"/>
              <w:szCs w:val="24"/>
            </w:rPr>
            <w:fldChar w:fldCharType="separate"/>
          </w:r>
          <w:r>
            <w:rPr>
              <w:rFonts w:hint="eastAsia" w:ascii="宋体" w:hAnsi="宋体" w:eastAsia="宋体" w:cs="宋体"/>
              <w:sz w:val="24"/>
              <w:szCs w:val="24"/>
            </w:rPr>
            <w:t>18</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_Toc11837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（三）专业课程体系</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_Toc11837 \h </w:instrText>
          </w:r>
          <w:r>
            <w:rPr>
              <w:rFonts w:hint="eastAsia" w:ascii="宋体" w:hAnsi="宋体" w:eastAsia="宋体" w:cs="宋体"/>
              <w:sz w:val="24"/>
              <w:szCs w:val="24"/>
            </w:rPr>
            <w:fldChar w:fldCharType="separate"/>
          </w:r>
          <w:r>
            <w:rPr>
              <w:rFonts w:hint="eastAsia" w:ascii="宋体" w:hAnsi="宋体" w:eastAsia="宋体" w:cs="宋体"/>
              <w:sz w:val="24"/>
              <w:szCs w:val="24"/>
            </w:rPr>
            <w:t>18</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_Toc210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（四）立德树人落实机制</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_Toc210 \h </w:instrText>
          </w:r>
          <w:r>
            <w:rPr>
              <w:rFonts w:hint="eastAsia" w:ascii="宋体" w:hAnsi="宋体" w:eastAsia="宋体" w:cs="宋体"/>
              <w:sz w:val="24"/>
              <w:szCs w:val="24"/>
            </w:rPr>
            <w:fldChar w:fldCharType="separate"/>
          </w:r>
          <w:r>
            <w:rPr>
              <w:rFonts w:hint="eastAsia" w:ascii="宋体" w:hAnsi="宋体" w:eastAsia="宋体" w:cs="宋体"/>
              <w:sz w:val="24"/>
              <w:szCs w:val="24"/>
            </w:rPr>
            <w:t>19</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_Toc19270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（五）学风建设</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_Toc19270 \h </w:instrText>
          </w:r>
          <w:r>
            <w:rPr>
              <w:rFonts w:hint="eastAsia" w:ascii="宋体" w:hAnsi="宋体" w:eastAsia="宋体" w:cs="宋体"/>
              <w:sz w:val="24"/>
              <w:szCs w:val="24"/>
            </w:rPr>
            <w:fldChar w:fldCharType="separate"/>
          </w:r>
          <w:r>
            <w:rPr>
              <w:rFonts w:hint="eastAsia" w:ascii="宋体" w:hAnsi="宋体" w:eastAsia="宋体" w:cs="宋体"/>
              <w:sz w:val="24"/>
              <w:szCs w:val="24"/>
            </w:rPr>
            <w:t>20</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_Toc2622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五、质量保障体系</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_Toc2622 \h </w:instrText>
          </w:r>
          <w:r>
            <w:rPr>
              <w:rFonts w:hint="eastAsia" w:ascii="宋体" w:hAnsi="宋体" w:eastAsia="宋体" w:cs="宋体"/>
              <w:sz w:val="24"/>
              <w:szCs w:val="24"/>
            </w:rPr>
            <w:fldChar w:fldCharType="separate"/>
          </w:r>
          <w:r>
            <w:rPr>
              <w:rFonts w:hint="eastAsia" w:ascii="宋体" w:hAnsi="宋体" w:eastAsia="宋体" w:cs="宋体"/>
              <w:sz w:val="24"/>
              <w:szCs w:val="24"/>
            </w:rPr>
            <w:t>21</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_Toc910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（一）人才培养中心地位落实情况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_Toc910 \h </w:instrText>
          </w:r>
          <w:r>
            <w:rPr>
              <w:rFonts w:hint="eastAsia" w:ascii="宋体" w:hAnsi="宋体" w:eastAsia="宋体" w:cs="宋体"/>
              <w:sz w:val="24"/>
              <w:szCs w:val="24"/>
            </w:rPr>
            <w:fldChar w:fldCharType="separate"/>
          </w:r>
          <w:r>
            <w:rPr>
              <w:rFonts w:hint="eastAsia" w:ascii="宋体" w:hAnsi="宋体" w:eastAsia="宋体" w:cs="宋体"/>
              <w:sz w:val="24"/>
              <w:szCs w:val="24"/>
            </w:rPr>
            <w:t>21</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_Toc357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（二）本科教学质量保障体系建设情况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_Toc357 \h </w:instrText>
          </w:r>
          <w:r>
            <w:rPr>
              <w:rFonts w:hint="eastAsia" w:ascii="宋体" w:hAnsi="宋体" w:eastAsia="宋体" w:cs="宋体"/>
              <w:sz w:val="24"/>
              <w:szCs w:val="24"/>
            </w:rPr>
            <w:fldChar w:fldCharType="separate"/>
          </w:r>
          <w:r>
            <w:rPr>
              <w:rFonts w:hint="eastAsia" w:ascii="宋体" w:hAnsi="宋体" w:eastAsia="宋体" w:cs="宋体"/>
              <w:sz w:val="24"/>
              <w:szCs w:val="24"/>
            </w:rPr>
            <w:t>22</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_Toc25916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（三）</w:t>
          </w:r>
          <w:bookmarkStart w:id="73" w:name="_GoBack"/>
          <w:bookmarkEnd w:id="73"/>
          <w:r>
            <w:rPr>
              <w:rFonts w:hint="eastAsia" w:ascii="宋体" w:hAnsi="宋体" w:eastAsia="宋体" w:cs="宋体"/>
              <w:bCs w:val="0"/>
              <w:kern w:val="2"/>
              <w:sz w:val="24"/>
              <w:szCs w:val="24"/>
              <w:highlight w:val="none"/>
              <w:lang w:val="en-US" w:eastAsia="zh-CN" w:bidi="ar-SA"/>
            </w:rPr>
            <w:t>合格评估开展情况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_Toc25916 \h </w:instrText>
          </w:r>
          <w:r>
            <w:rPr>
              <w:rFonts w:hint="eastAsia" w:ascii="宋体" w:hAnsi="宋体" w:eastAsia="宋体" w:cs="宋体"/>
              <w:sz w:val="24"/>
              <w:szCs w:val="24"/>
            </w:rPr>
            <w:fldChar w:fldCharType="separate"/>
          </w:r>
          <w:r>
            <w:rPr>
              <w:rFonts w:hint="eastAsia" w:ascii="宋体" w:hAnsi="宋体" w:eastAsia="宋体" w:cs="宋体"/>
              <w:sz w:val="24"/>
              <w:szCs w:val="24"/>
            </w:rPr>
            <w:t>22</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_Toc4501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六、学生学习效果</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_Toc4501 \h </w:instrText>
          </w:r>
          <w:r>
            <w:rPr>
              <w:rFonts w:hint="eastAsia" w:ascii="宋体" w:hAnsi="宋体" w:eastAsia="宋体" w:cs="宋体"/>
              <w:sz w:val="24"/>
              <w:szCs w:val="24"/>
            </w:rPr>
            <w:fldChar w:fldCharType="separate"/>
          </w:r>
          <w:r>
            <w:rPr>
              <w:rFonts w:hint="eastAsia" w:ascii="宋体" w:hAnsi="宋体" w:eastAsia="宋体" w:cs="宋体"/>
              <w:sz w:val="24"/>
              <w:szCs w:val="24"/>
            </w:rPr>
            <w:t>23</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_Toc29982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（一）在校生培养情况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_Toc29982 \h </w:instrText>
          </w:r>
          <w:r>
            <w:rPr>
              <w:rFonts w:hint="eastAsia" w:ascii="宋体" w:hAnsi="宋体" w:eastAsia="宋体" w:cs="宋体"/>
              <w:sz w:val="24"/>
              <w:szCs w:val="24"/>
            </w:rPr>
            <w:fldChar w:fldCharType="separate"/>
          </w:r>
          <w:r>
            <w:rPr>
              <w:rFonts w:hint="eastAsia" w:ascii="宋体" w:hAnsi="宋体" w:eastAsia="宋体" w:cs="宋体"/>
              <w:sz w:val="24"/>
              <w:szCs w:val="24"/>
            </w:rPr>
            <w:t>23</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_Toc53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（二）毕业生基本情况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_Toc53 \h </w:instrText>
          </w:r>
          <w:r>
            <w:rPr>
              <w:rFonts w:hint="eastAsia" w:ascii="宋体" w:hAnsi="宋体" w:eastAsia="宋体" w:cs="宋体"/>
              <w:sz w:val="24"/>
              <w:szCs w:val="24"/>
            </w:rPr>
            <w:fldChar w:fldCharType="separate"/>
          </w:r>
          <w:r>
            <w:rPr>
              <w:rFonts w:hint="eastAsia" w:ascii="宋体" w:hAnsi="宋体" w:eastAsia="宋体" w:cs="宋体"/>
              <w:sz w:val="24"/>
              <w:szCs w:val="24"/>
            </w:rPr>
            <w:t>24</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_Toc12173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（三）毕业生跟踪调查情况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_Toc12173 \h </w:instrText>
          </w:r>
          <w:r>
            <w:rPr>
              <w:rFonts w:hint="eastAsia" w:ascii="宋体" w:hAnsi="宋体" w:eastAsia="宋体" w:cs="宋体"/>
              <w:sz w:val="24"/>
              <w:szCs w:val="24"/>
            </w:rPr>
            <w:fldChar w:fldCharType="separate"/>
          </w:r>
          <w:r>
            <w:rPr>
              <w:rFonts w:hint="eastAsia" w:ascii="宋体" w:hAnsi="宋体" w:eastAsia="宋体" w:cs="宋体"/>
              <w:sz w:val="24"/>
              <w:szCs w:val="24"/>
            </w:rPr>
            <w:t>25</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_Toc6810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（四）毕业生对母校的满意度</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_Toc6810 \h </w:instrText>
          </w:r>
          <w:r>
            <w:rPr>
              <w:rFonts w:hint="eastAsia" w:ascii="宋体" w:hAnsi="宋体" w:eastAsia="宋体" w:cs="宋体"/>
              <w:sz w:val="24"/>
              <w:szCs w:val="24"/>
            </w:rPr>
            <w:fldChar w:fldCharType="separate"/>
          </w:r>
          <w:r>
            <w:rPr>
              <w:rFonts w:hint="eastAsia" w:ascii="宋体" w:hAnsi="宋体" w:eastAsia="宋体" w:cs="宋体"/>
              <w:sz w:val="24"/>
              <w:szCs w:val="24"/>
            </w:rPr>
            <w:t>25</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_Toc28001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（五）用人单位对毕业生评价</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_Toc28001 \h </w:instrText>
          </w:r>
          <w:r>
            <w:rPr>
              <w:rFonts w:hint="eastAsia" w:ascii="宋体" w:hAnsi="宋体" w:eastAsia="宋体" w:cs="宋体"/>
              <w:sz w:val="24"/>
              <w:szCs w:val="24"/>
            </w:rPr>
            <w:fldChar w:fldCharType="separate"/>
          </w:r>
          <w:r>
            <w:rPr>
              <w:rFonts w:hint="eastAsia" w:ascii="宋体" w:hAnsi="宋体" w:eastAsia="宋体" w:cs="宋体"/>
              <w:sz w:val="24"/>
              <w:szCs w:val="24"/>
            </w:rPr>
            <w:t>26</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_Toc31667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七、特色发展</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_Toc31667 \h </w:instrText>
          </w:r>
          <w:r>
            <w:rPr>
              <w:rFonts w:hint="eastAsia" w:ascii="宋体" w:hAnsi="宋体" w:eastAsia="宋体" w:cs="宋体"/>
              <w:sz w:val="24"/>
              <w:szCs w:val="24"/>
            </w:rPr>
            <w:fldChar w:fldCharType="separate"/>
          </w:r>
          <w:r>
            <w:rPr>
              <w:rFonts w:hint="eastAsia" w:ascii="宋体" w:hAnsi="宋体" w:eastAsia="宋体" w:cs="宋体"/>
              <w:sz w:val="24"/>
              <w:szCs w:val="24"/>
            </w:rPr>
            <w:t>26</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_Toc13689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（一）坚持理论实践双主线，深化产教城融合协同育人</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_Toc13689 \h </w:instrText>
          </w:r>
          <w:r>
            <w:rPr>
              <w:rFonts w:hint="eastAsia" w:ascii="宋体" w:hAnsi="宋体" w:eastAsia="宋体" w:cs="宋体"/>
              <w:sz w:val="24"/>
              <w:szCs w:val="24"/>
            </w:rPr>
            <w:fldChar w:fldCharType="separate"/>
          </w:r>
          <w:r>
            <w:rPr>
              <w:rFonts w:hint="eastAsia" w:ascii="宋体" w:hAnsi="宋体" w:eastAsia="宋体" w:cs="宋体"/>
              <w:sz w:val="24"/>
              <w:szCs w:val="24"/>
            </w:rPr>
            <w:t>26</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_Toc12257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（二）聚焦立德树人，构建“五位一体”思政工作大格局</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_Toc12257 \h </w:instrText>
          </w:r>
          <w:r>
            <w:rPr>
              <w:rFonts w:hint="eastAsia" w:ascii="宋体" w:hAnsi="宋体" w:eastAsia="宋体" w:cs="宋体"/>
              <w:sz w:val="24"/>
              <w:szCs w:val="24"/>
            </w:rPr>
            <w:fldChar w:fldCharType="separate"/>
          </w:r>
          <w:r>
            <w:rPr>
              <w:rFonts w:hint="eastAsia" w:ascii="宋体" w:hAnsi="宋体" w:eastAsia="宋体" w:cs="宋体"/>
              <w:sz w:val="24"/>
              <w:szCs w:val="24"/>
            </w:rPr>
            <w:t>28</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_Toc1966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八、问题与对策</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_Toc1966 \h </w:instrText>
          </w:r>
          <w:r>
            <w:rPr>
              <w:rFonts w:hint="eastAsia" w:ascii="宋体" w:hAnsi="宋体" w:eastAsia="宋体" w:cs="宋体"/>
              <w:sz w:val="24"/>
              <w:szCs w:val="24"/>
            </w:rPr>
            <w:fldChar w:fldCharType="separate"/>
          </w:r>
          <w:r>
            <w:rPr>
              <w:rFonts w:hint="eastAsia" w:ascii="宋体" w:hAnsi="宋体" w:eastAsia="宋体" w:cs="宋体"/>
              <w:sz w:val="24"/>
              <w:szCs w:val="24"/>
            </w:rPr>
            <w:t>31</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_Toc12463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（一）课堂教学模式需进一步创新改进</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_Toc12463 \h </w:instrText>
          </w:r>
          <w:r>
            <w:rPr>
              <w:rFonts w:hint="eastAsia" w:ascii="宋体" w:hAnsi="宋体" w:eastAsia="宋体" w:cs="宋体"/>
              <w:sz w:val="24"/>
              <w:szCs w:val="24"/>
            </w:rPr>
            <w:fldChar w:fldCharType="separate"/>
          </w:r>
          <w:r>
            <w:rPr>
              <w:rFonts w:hint="eastAsia" w:ascii="宋体" w:hAnsi="宋体" w:eastAsia="宋体" w:cs="宋体"/>
              <w:sz w:val="24"/>
              <w:szCs w:val="24"/>
            </w:rPr>
            <w:t>31</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_Toc21537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（二）办学基础条件需进一步扩量提质</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_Toc21537 \h </w:instrText>
          </w:r>
          <w:r>
            <w:rPr>
              <w:rFonts w:hint="eastAsia" w:ascii="宋体" w:hAnsi="宋体" w:eastAsia="宋体" w:cs="宋体"/>
              <w:sz w:val="24"/>
              <w:szCs w:val="24"/>
            </w:rPr>
            <w:fldChar w:fldCharType="separate"/>
          </w:r>
          <w:r>
            <w:rPr>
              <w:rFonts w:hint="eastAsia" w:ascii="宋体" w:hAnsi="宋体" w:eastAsia="宋体" w:cs="宋体"/>
              <w:sz w:val="24"/>
              <w:szCs w:val="24"/>
            </w:rPr>
            <w:t>31</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0" w:leftChars="0"/>
            <w:textAlignment w:val="auto"/>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_Toc16213 </w:instrText>
          </w:r>
          <w:r>
            <w:rPr>
              <w:rFonts w:hint="eastAsia" w:ascii="宋体" w:hAnsi="宋体" w:eastAsia="宋体" w:cs="宋体"/>
              <w:sz w:val="24"/>
              <w:szCs w:val="24"/>
            </w:rPr>
            <w:fldChar w:fldCharType="separate"/>
          </w:r>
          <w:r>
            <w:rPr>
              <w:rFonts w:hint="eastAsia" w:ascii="宋体" w:hAnsi="宋体" w:eastAsia="宋体" w:cs="宋体"/>
              <w:bCs w:val="0"/>
              <w:kern w:val="2"/>
              <w:sz w:val="24"/>
              <w:szCs w:val="24"/>
              <w:lang w:val="en-US" w:eastAsia="zh-CN" w:bidi="ar-SA"/>
            </w:rPr>
            <w:t>（三）质量保障体系需进一步健全完善</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_Toc16213 \h </w:instrText>
          </w:r>
          <w:r>
            <w:rPr>
              <w:rFonts w:hint="eastAsia" w:ascii="宋体" w:hAnsi="宋体" w:eastAsia="宋体" w:cs="宋体"/>
              <w:sz w:val="24"/>
              <w:szCs w:val="24"/>
            </w:rPr>
            <w:fldChar w:fldCharType="separate"/>
          </w:r>
          <w:r>
            <w:rPr>
              <w:rFonts w:hint="eastAsia" w:ascii="宋体" w:hAnsi="宋体" w:eastAsia="宋体" w:cs="宋体"/>
              <w:sz w:val="24"/>
              <w:szCs w:val="24"/>
            </w:rPr>
            <w:t>31</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keepNext w:val="0"/>
            <w:keepLines w:val="0"/>
            <w:pageBreakBefore w:val="0"/>
            <w:widowControl w:val="0"/>
            <w:kinsoku/>
            <w:wordWrap/>
            <w:overflowPunct/>
            <w:topLinePunct w:val="0"/>
            <w:autoSpaceDE/>
            <w:autoSpaceDN/>
            <w:bidi w:val="0"/>
            <w:adjustRightInd/>
            <w:snapToGrid/>
            <w:textAlignment w:val="auto"/>
          </w:pPr>
          <w:r>
            <w:rPr>
              <w:rFonts w:hint="eastAsia" w:asciiTheme="minorEastAsia" w:hAnsiTheme="minorEastAsia" w:eastAsiaTheme="minorEastAsia" w:cstheme="minorEastAsia"/>
              <w:szCs w:val="28"/>
            </w:rPr>
            <w:fldChar w:fldCharType="end"/>
          </w:r>
        </w:p>
      </w:sdtContent>
    </w:sdt>
    <w:p>
      <w:pPr>
        <w:numPr>
          <w:ilvl w:val="0"/>
          <w:numId w:val="0"/>
        </w:numPr>
        <w:jc w:val="both"/>
        <w:outlineLvl w:val="0"/>
        <w:rPr>
          <w:rFonts w:hint="eastAsia" w:ascii="Times New Roman" w:hAnsi="Times New Roman" w:eastAsia="黑体" w:cs="Times New Roman"/>
          <w:color w:val="auto"/>
          <w:sz w:val="30"/>
          <w:szCs w:val="30"/>
          <w:lang w:val="en-US" w:eastAsia="zh-CN"/>
        </w:rPr>
      </w:pPr>
    </w:p>
    <w:p>
      <w:pPr>
        <w:numPr>
          <w:ilvl w:val="0"/>
          <w:numId w:val="0"/>
        </w:numPr>
        <w:jc w:val="both"/>
        <w:outlineLvl w:val="0"/>
        <w:rPr>
          <w:rFonts w:hint="eastAsia" w:ascii="Times New Roman" w:hAnsi="Times New Roman" w:eastAsia="黑体" w:cs="Times New Roman"/>
          <w:color w:val="auto"/>
          <w:sz w:val="30"/>
          <w:szCs w:val="30"/>
          <w:lang w:val="en-US" w:eastAsia="zh-CN"/>
        </w:rPr>
      </w:pPr>
    </w:p>
    <w:p>
      <w:pPr>
        <w:numPr>
          <w:ilvl w:val="0"/>
          <w:numId w:val="0"/>
        </w:numPr>
        <w:jc w:val="both"/>
        <w:outlineLvl w:val="0"/>
        <w:rPr>
          <w:rFonts w:hint="eastAsia" w:ascii="Times New Roman" w:hAnsi="Times New Roman" w:eastAsia="黑体" w:cs="Times New Roman"/>
          <w:color w:val="auto"/>
          <w:sz w:val="30"/>
          <w:szCs w:val="30"/>
          <w:lang w:val="en-US" w:eastAsia="zh-CN"/>
        </w:rPr>
      </w:pPr>
    </w:p>
    <w:p>
      <w:pPr>
        <w:numPr>
          <w:ilvl w:val="0"/>
          <w:numId w:val="0"/>
        </w:numPr>
        <w:jc w:val="both"/>
        <w:outlineLvl w:val="0"/>
        <w:rPr>
          <w:rFonts w:hint="eastAsia" w:ascii="Times New Roman" w:hAnsi="Times New Roman" w:eastAsia="黑体" w:cs="Times New Roman"/>
          <w:color w:val="auto"/>
          <w:sz w:val="30"/>
          <w:szCs w:val="30"/>
          <w:lang w:val="en-US" w:eastAsia="zh-CN"/>
        </w:rPr>
      </w:pPr>
    </w:p>
    <w:p>
      <w:pPr>
        <w:numPr>
          <w:ilvl w:val="0"/>
          <w:numId w:val="0"/>
        </w:numPr>
        <w:jc w:val="both"/>
        <w:outlineLvl w:val="0"/>
        <w:rPr>
          <w:rFonts w:hint="eastAsia" w:ascii="Times New Roman" w:hAnsi="Times New Roman" w:eastAsia="黑体" w:cs="Times New Roman"/>
          <w:color w:val="auto"/>
          <w:sz w:val="30"/>
          <w:szCs w:val="30"/>
          <w:lang w:val="en-US" w:eastAsia="zh-CN"/>
        </w:rPr>
      </w:pPr>
    </w:p>
    <w:p>
      <w:pPr>
        <w:numPr>
          <w:ilvl w:val="0"/>
          <w:numId w:val="0"/>
        </w:numPr>
        <w:jc w:val="both"/>
        <w:outlineLvl w:val="0"/>
        <w:rPr>
          <w:rFonts w:hint="eastAsia" w:ascii="Times New Roman" w:hAnsi="Times New Roman" w:eastAsia="黑体" w:cs="Times New Roman"/>
          <w:color w:val="auto"/>
          <w:sz w:val="30"/>
          <w:szCs w:val="30"/>
          <w:lang w:val="en-US" w:eastAsia="zh-CN"/>
        </w:rPr>
      </w:pPr>
    </w:p>
    <w:p>
      <w:pPr>
        <w:numPr>
          <w:ilvl w:val="0"/>
          <w:numId w:val="0"/>
        </w:numPr>
        <w:jc w:val="both"/>
        <w:outlineLvl w:val="0"/>
        <w:rPr>
          <w:rFonts w:hint="eastAsia" w:ascii="Times New Roman" w:hAnsi="Times New Roman" w:eastAsia="黑体" w:cs="Times New Roman"/>
          <w:color w:val="auto"/>
          <w:sz w:val="30"/>
          <w:szCs w:val="30"/>
          <w:lang w:val="en-US" w:eastAsia="zh-CN"/>
        </w:rPr>
      </w:pPr>
    </w:p>
    <w:p>
      <w:pPr>
        <w:numPr>
          <w:ilvl w:val="0"/>
          <w:numId w:val="0"/>
        </w:numPr>
        <w:jc w:val="both"/>
        <w:outlineLvl w:val="0"/>
        <w:rPr>
          <w:rFonts w:hint="eastAsia" w:ascii="Times New Roman" w:hAnsi="Times New Roman" w:eastAsia="黑体" w:cs="Times New Roman"/>
          <w:color w:val="auto"/>
          <w:sz w:val="30"/>
          <w:szCs w:val="30"/>
          <w:lang w:val="en-US" w:eastAsia="zh-CN"/>
        </w:rPr>
        <w:sectPr>
          <w:headerReference r:id="rId3"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720" w:num="1"/>
          <w:titlePg/>
          <w:docGrid w:type="lines" w:linePitch="312" w:charSpace="0"/>
        </w:sectPr>
      </w:pPr>
    </w:p>
    <w:p>
      <w:pPr>
        <w:numPr>
          <w:ilvl w:val="0"/>
          <w:numId w:val="0"/>
        </w:numPr>
        <w:jc w:val="both"/>
        <w:outlineLvl w:val="0"/>
        <w:rPr>
          <w:rFonts w:hint="eastAsia" w:ascii="Times New Roman" w:hAnsi="Times New Roman" w:eastAsia="黑体" w:cs="Times New Roman"/>
          <w:color w:val="auto"/>
          <w:sz w:val="30"/>
          <w:szCs w:val="30"/>
        </w:rPr>
      </w:pPr>
      <w:bookmarkStart w:id="0" w:name="_Toc6390"/>
      <w:r>
        <w:rPr>
          <w:rFonts w:hint="eastAsia" w:ascii="Times New Roman" w:hAnsi="Times New Roman" w:eastAsia="黑体" w:cs="Times New Roman"/>
          <w:color w:val="auto"/>
          <w:sz w:val="30"/>
          <w:szCs w:val="30"/>
          <w:lang w:val="en-US" w:eastAsia="zh-CN"/>
        </w:rPr>
        <w:t>学校概况</w:t>
      </w:r>
      <w:bookmarkEnd w:id="0"/>
      <w:r>
        <w:rPr>
          <w:rFonts w:hint="eastAsia" w:ascii="Times New Roman" w:hAnsi="Times New Roman" w:eastAsia="黑体" w:cs="Times New Roman"/>
          <w:color w:val="auto"/>
          <w:sz w:val="30"/>
          <w:szCs w:val="30"/>
        </w:rPr>
        <w:tab/>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湖州学院是一所全日制公办普通本科高等学校。学校前身是成立于1999年的湖州师范学院求真学院。2021年1月，经教育部同意转设为公办普通本科高校，更名为湖州学院。学校现为浙江省应用型高校建设试点院校，浙江省人工智能教育应用试点学校。</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学校位于山水清丽、交通便捷的国家历史文化名城浙江省湖州市。学校现占地面积500余亩，全日制在校生8000余人。规划中的新校园位于浙江省四大湾区之一的南太湖新区，规划用地1004亩，建筑面积36.4万平方米，规划在校生规模13000人。</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eastAsiaTheme="minorEastAsia" w:cstheme="minorEastAsia"/>
          <w:sz w:val="24"/>
          <w:szCs w:val="24"/>
          <w:highlight w:val="yellow"/>
          <w:lang w:val="en-US" w:eastAsia="zh-CN"/>
        </w:rPr>
      </w:pPr>
      <w:r>
        <w:rPr>
          <w:rFonts w:hint="eastAsia" w:asciiTheme="minorEastAsia" w:hAnsiTheme="minorEastAsia" w:eastAsiaTheme="minorEastAsia" w:cstheme="minorEastAsia"/>
          <w:sz w:val="24"/>
          <w:szCs w:val="24"/>
          <w:lang w:val="en-US" w:eastAsia="zh-CN"/>
        </w:rPr>
        <w:t>学校坚持高水平应用型大学建设定位，立足湖州，面向浙江，辐射长三角，围绕智能制造、新材料新能源、数字经济、生命健康、高端服务业、文化创意等领域，加快推进学科专业布局调整，打造与区域产业结构紧密对接的、具有湖州学院特色的学科专业体系。学校下设智能制造学院、电子信息学院等七个二级学院，拥有工学、医学、经济学、管理学、文学、艺术学等学科门类，开设36个本科专业。现有机械工程、电子科学与技术2个省一流学科，计算机科学与技术、材料科学与工程、生物工程等5个市一流学科；在电子信息、机械与自动化、材料、健康护理、经济贸易、艺术与设计等方向建有省级本科专业12个、市级专业7个，建有省级一流课程71门，省级教材7部；</w:t>
      </w:r>
      <w:r>
        <w:rPr>
          <w:rFonts w:hint="eastAsia" w:asciiTheme="minorEastAsia" w:hAnsiTheme="minorEastAsia" w:eastAsiaTheme="minorEastAsia" w:cstheme="minorEastAsia"/>
          <w:sz w:val="24"/>
          <w:szCs w:val="24"/>
          <w:highlight w:val="none"/>
          <w:lang w:val="en-US" w:eastAsia="zh-CN"/>
        </w:rPr>
        <w:t>拥有“浙江省151人才工程”培养人员、省高校中青年带头人等各类省级人才30余人次，“南太湖精英计划”“南太湖本土高层次特殊支持计划”等各类市级人才20余人次。</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面对新时代高等教育高质量发展机遇，学校将始终坚持社会主义办学方向，落实立德树人根本任务，努力提高学校核心竞争力，为长三角一体化发展提供人才支撑与智力支持，为加快建设全国知名、特色鲜明的高水平应用型大学的目标而努力奋斗！</w:t>
      </w:r>
    </w:p>
    <w:p>
      <w:pPr>
        <w:numPr>
          <w:ilvl w:val="0"/>
          <w:numId w:val="2"/>
        </w:numPr>
        <w:jc w:val="both"/>
        <w:outlineLvl w:val="0"/>
        <w:rPr>
          <w:rFonts w:hint="eastAsia" w:ascii="Times New Roman" w:hAnsi="Times New Roman" w:eastAsia="黑体" w:cs="Times New Roman"/>
          <w:color w:val="auto"/>
          <w:sz w:val="30"/>
          <w:szCs w:val="30"/>
        </w:rPr>
      </w:pPr>
      <w:bookmarkStart w:id="1" w:name="_Toc2093"/>
      <w:r>
        <w:rPr>
          <w:rFonts w:hint="eastAsia" w:ascii="Times New Roman" w:hAnsi="Times New Roman" w:eastAsia="黑体" w:cs="Times New Roman"/>
          <w:color w:val="auto"/>
          <w:sz w:val="30"/>
          <w:szCs w:val="30"/>
        </w:rPr>
        <w:t>本科教育基本情况</w:t>
      </w:r>
      <w:bookmarkEnd w:id="1"/>
      <w:r>
        <w:rPr>
          <w:rFonts w:hint="eastAsia" w:ascii="Times New Roman" w:hAnsi="Times New Roman" w:eastAsia="黑体" w:cs="Times New Roman"/>
          <w:color w:val="auto"/>
          <w:sz w:val="30"/>
          <w:szCs w:val="30"/>
        </w:rPr>
        <w:tab/>
      </w:r>
    </w:p>
    <w:p>
      <w:pPr>
        <w:jc w:val="both"/>
        <w:outlineLvl w:val="1"/>
        <w:rPr>
          <w:rFonts w:hint="default" w:ascii="Times New Roman" w:hAnsi="Times New Roman" w:eastAsia="黑体" w:cs="Times New Roman"/>
          <w:color w:val="auto"/>
          <w:sz w:val="28"/>
          <w:szCs w:val="28"/>
        </w:rPr>
      </w:pPr>
      <w:bookmarkStart w:id="2" w:name="_Toc7763"/>
      <w:bookmarkStart w:id="3" w:name="_Toc8290"/>
      <w:bookmarkStart w:id="4" w:name="_Toc15682"/>
      <w:bookmarkStart w:id="5" w:name="_Toc29596"/>
      <w:bookmarkStart w:id="6" w:name="_Toc20880"/>
      <w:bookmarkStart w:id="7" w:name="_Toc19418"/>
      <w:bookmarkStart w:id="8" w:name="_Toc23872"/>
      <w:bookmarkStart w:id="9" w:name="_Toc25485"/>
      <w:r>
        <w:rPr>
          <w:rFonts w:hint="default" w:ascii="Times New Roman" w:hAnsi="Times New Roman" w:eastAsia="黑体" w:cs="Times New Roman"/>
          <w:color w:val="auto"/>
          <w:sz w:val="28"/>
          <w:szCs w:val="28"/>
        </w:rPr>
        <w:t>（一）人才培养目标及服务面向</w:t>
      </w:r>
      <w:bookmarkEnd w:id="2"/>
      <w:bookmarkEnd w:id="3"/>
      <w:bookmarkEnd w:id="4"/>
      <w:bookmarkEnd w:id="5"/>
      <w:bookmarkEnd w:id="6"/>
      <w:bookmarkEnd w:id="7"/>
    </w:p>
    <w:p>
      <w:pPr>
        <w:spacing w:line="400" w:lineRule="exact"/>
        <w:ind w:firstLine="482" w:firstLineChars="200"/>
        <w:jc w:val="both"/>
        <w:rPr>
          <w:rFonts w:hint="eastAsia" w:ascii="宋体" w:hAnsi="宋体" w:eastAsia="宋体" w:cs="宋体"/>
          <w:color w:val="auto"/>
          <w:sz w:val="24"/>
        </w:rPr>
      </w:pPr>
      <w:r>
        <w:rPr>
          <w:rFonts w:hint="eastAsia" w:ascii="宋体" w:hAnsi="宋体" w:eastAsia="宋体" w:cs="宋体"/>
          <w:b/>
          <w:bCs/>
          <w:color w:val="auto"/>
          <w:sz w:val="24"/>
        </w:rPr>
        <w:t>培养目标</w:t>
      </w:r>
      <w:r>
        <w:rPr>
          <w:rFonts w:hint="eastAsia" w:ascii="宋体" w:hAnsi="宋体" w:eastAsia="宋体" w:cs="宋体"/>
          <w:color w:val="auto"/>
          <w:sz w:val="24"/>
        </w:rPr>
        <w:t>：学校</w:t>
      </w:r>
      <w:r>
        <w:rPr>
          <w:rFonts w:hint="eastAsia" w:ascii="宋体" w:hAnsi="宋体" w:eastAsia="宋体" w:cs="宋体"/>
          <w:color w:val="auto"/>
          <w:sz w:val="24"/>
          <w:lang w:val="en-US" w:eastAsia="zh-CN"/>
        </w:rPr>
        <w:t>以高素质应用型人才培养为主线，紧密</w:t>
      </w:r>
      <w:r>
        <w:rPr>
          <w:rFonts w:hint="eastAsia" w:ascii="宋体" w:hAnsi="宋体" w:eastAsia="宋体" w:cs="宋体"/>
          <w:color w:val="auto"/>
          <w:sz w:val="24"/>
        </w:rPr>
        <w:t>对接区域经济</w:t>
      </w:r>
      <w:r>
        <w:rPr>
          <w:rFonts w:hint="eastAsia" w:ascii="宋体" w:hAnsi="宋体" w:eastAsia="宋体" w:cs="宋体"/>
          <w:color w:val="auto"/>
          <w:sz w:val="24"/>
          <w:lang w:val="en-US" w:eastAsia="zh-CN"/>
        </w:rPr>
        <w:t>社会</w:t>
      </w:r>
      <w:r>
        <w:rPr>
          <w:rFonts w:hint="eastAsia" w:ascii="宋体" w:hAnsi="宋体" w:eastAsia="宋体" w:cs="宋体"/>
          <w:color w:val="auto"/>
          <w:sz w:val="24"/>
        </w:rPr>
        <w:t>发展需求，坚持理论教学和实践教学双线</w:t>
      </w:r>
      <w:r>
        <w:rPr>
          <w:rFonts w:hint="eastAsia" w:ascii="宋体" w:hAnsi="宋体" w:eastAsia="宋体" w:cs="宋体"/>
          <w:color w:val="auto"/>
          <w:sz w:val="24"/>
          <w:lang w:val="en-US" w:eastAsia="zh-CN"/>
        </w:rPr>
        <w:t>推进</w:t>
      </w:r>
      <w:r>
        <w:rPr>
          <w:rFonts w:hint="eastAsia" w:ascii="宋体" w:hAnsi="宋体" w:eastAsia="宋体" w:cs="宋体"/>
          <w:color w:val="auto"/>
          <w:sz w:val="24"/>
        </w:rPr>
        <w:t>，</w:t>
      </w:r>
      <w:r>
        <w:rPr>
          <w:rFonts w:hint="eastAsia" w:ascii="宋体" w:hAnsi="宋体" w:eastAsia="宋体" w:cs="宋体"/>
          <w:color w:val="auto"/>
          <w:sz w:val="24"/>
          <w:lang w:val="en-US" w:eastAsia="zh-CN"/>
        </w:rPr>
        <w:t>开展产教城协同、校地企协作育人，</w:t>
      </w:r>
      <w:r>
        <w:rPr>
          <w:rFonts w:hint="eastAsia" w:ascii="宋体" w:hAnsi="宋体" w:eastAsia="宋体" w:cs="宋体"/>
          <w:color w:val="auto"/>
          <w:sz w:val="24"/>
        </w:rPr>
        <w:t>有效提升大学生创新能力和实践能力，</w:t>
      </w:r>
      <w:r>
        <w:rPr>
          <w:rFonts w:hint="eastAsia" w:ascii="宋体" w:hAnsi="宋体" w:eastAsia="宋体" w:cs="宋体"/>
          <w:color w:val="auto"/>
          <w:sz w:val="24"/>
          <w:lang w:val="en-US" w:eastAsia="zh-CN"/>
        </w:rPr>
        <w:t>努力</w:t>
      </w:r>
      <w:r>
        <w:rPr>
          <w:rFonts w:hint="eastAsia" w:ascii="宋体" w:hAnsi="宋体" w:eastAsia="宋体" w:cs="宋体"/>
          <w:color w:val="auto"/>
          <w:sz w:val="24"/>
        </w:rPr>
        <w:t>培养政治素质优良、理想信念坚定、</w:t>
      </w:r>
      <w:r>
        <w:rPr>
          <w:rFonts w:hint="eastAsia" w:ascii="宋体" w:hAnsi="宋体" w:eastAsia="宋体" w:cs="宋体"/>
          <w:color w:val="auto"/>
          <w:sz w:val="24"/>
          <w:lang w:val="en-US" w:eastAsia="zh-CN"/>
        </w:rPr>
        <w:t>文化底蕴浓郁、</w:t>
      </w:r>
      <w:r>
        <w:rPr>
          <w:rFonts w:hint="eastAsia" w:ascii="宋体" w:hAnsi="宋体" w:eastAsia="宋体" w:cs="宋体"/>
          <w:color w:val="auto"/>
          <w:sz w:val="24"/>
        </w:rPr>
        <w:t>专业知识厚重、实践能力突出、创新创业意识</w:t>
      </w:r>
      <w:r>
        <w:rPr>
          <w:rFonts w:hint="eastAsia" w:ascii="宋体" w:hAnsi="宋体" w:eastAsia="宋体" w:cs="宋体"/>
          <w:color w:val="auto"/>
          <w:sz w:val="24"/>
          <w:lang w:val="en-US" w:eastAsia="zh-CN"/>
        </w:rPr>
        <w:t>强、具有</w:t>
      </w:r>
      <w:r>
        <w:rPr>
          <w:rFonts w:hint="eastAsia" w:ascii="宋体" w:hAnsi="宋体" w:eastAsia="宋体" w:cs="宋体"/>
          <w:color w:val="auto"/>
          <w:sz w:val="24"/>
        </w:rPr>
        <w:t>全球视野的</w:t>
      </w:r>
      <w:r>
        <w:rPr>
          <w:rFonts w:hint="eastAsia" w:ascii="宋体" w:hAnsi="宋体" w:eastAsia="宋体" w:cs="宋体"/>
          <w:color w:val="auto"/>
          <w:sz w:val="24"/>
          <w:lang w:val="en-US" w:eastAsia="zh-CN"/>
        </w:rPr>
        <w:t>高素质应用型人才</w:t>
      </w:r>
      <w:r>
        <w:rPr>
          <w:rFonts w:hint="eastAsia" w:ascii="宋体" w:hAnsi="宋体" w:eastAsia="宋体" w:cs="宋体"/>
          <w:color w:val="auto"/>
          <w:sz w:val="24"/>
        </w:rPr>
        <w:t>。</w:t>
      </w:r>
    </w:p>
    <w:p>
      <w:pPr>
        <w:spacing w:line="400" w:lineRule="exact"/>
        <w:ind w:firstLine="482" w:firstLineChars="200"/>
        <w:jc w:val="both"/>
        <w:rPr>
          <w:rFonts w:hint="default" w:ascii="Times New Roman" w:hAnsi="Times New Roman" w:eastAsia="宋体" w:cs="Times New Roman"/>
          <w:color w:val="auto"/>
          <w:sz w:val="24"/>
        </w:rPr>
      </w:pPr>
      <w:r>
        <w:rPr>
          <w:rFonts w:hint="default" w:ascii="Times New Roman" w:hAnsi="Times New Roman" w:eastAsia="宋体" w:cs="Times New Roman"/>
          <w:b/>
          <w:bCs/>
          <w:color w:val="auto"/>
          <w:sz w:val="24"/>
        </w:rPr>
        <w:t>服务面向</w:t>
      </w:r>
      <w:r>
        <w:rPr>
          <w:rFonts w:hint="default" w:ascii="Times New Roman" w:hAnsi="Times New Roman" w:eastAsia="宋体" w:cs="Times New Roman"/>
          <w:color w:val="auto"/>
          <w:sz w:val="24"/>
        </w:rPr>
        <w:t>：</w:t>
      </w:r>
      <w:r>
        <w:rPr>
          <w:rFonts w:hint="eastAsia" w:ascii="Times New Roman" w:hAnsi="Times New Roman" w:eastAsia="宋体" w:cs="Times New Roman"/>
          <w:color w:val="auto"/>
          <w:sz w:val="24"/>
          <w:lang w:val="en-US" w:eastAsia="zh-CN"/>
        </w:rPr>
        <w:t>学校坚持“立足湖州、面向浙江、辐射长三角”发展定位，</w:t>
      </w:r>
      <w:r>
        <w:rPr>
          <w:rFonts w:hint="eastAsia" w:asciiTheme="minorEastAsia" w:hAnsiTheme="minorEastAsia" w:eastAsiaTheme="minorEastAsia" w:cstheme="minorEastAsia"/>
          <w:sz w:val="24"/>
          <w:szCs w:val="24"/>
          <w:lang w:val="en-US" w:eastAsia="zh-CN"/>
        </w:rPr>
        <w:t>秉承“湖州学院姓湖州、湖州学院兴湖州”的办学理念，</w:t>
      </w:r>
      <w:r>
        <w:rPr>
          <w:rFonts w:hint="default" w:ascii="Times New Roman" w:hAnsi="Times New Roman" w:eastAsia="宋体" w:cs="Times New Roman"/>
          <w:color w:val="auto"/>
          <w:sz w:val="24"/>
        </w:rPr>
        <w:t>主动适应经济社会发展、知识创新、科技进步、产业升级需要</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围绕国家和长三角产业规划、浙江省八大万亿产业、湖州市</w:t>
      </w:r>
      <w:r>
        <w:rPr>
          <w:rFonts w:hint="eastAsia" w:ascii="Times New Roman" w:hAnsi="Times New Roman" w:eastAsia="宋体" w:cs="Times New Roman"/>
          <w:color w:val="auto"/>
          <w:sz w:val="24"/>
        </w:rPr>
        <w:t>“</w:t>
      </w:r>
      <w:r>
        <w:rPr>
          <w:rFonts w:hint="default" w:asciiTheme="minorEastAsia" w:hAnsiTheme="minorEastAsia" w:eastAsiaTheme="minorEastAsia" w:cstheme="minorEastAsia"/>
          <w:sz w:val="24"/>
          <w:szCs w:val="24"/>
          <w:highlight w:val="none"/>
          <w:lang w:val="en-US" w:eastAsia="zh-CN"/>
        </w:rPr>
        <w:t>4210</w:t>
      </w:r>
      <w:r>
        <w:rPr>
          <w:rFonts w:hint="eastAsia" w:ascii="Times New Roman" w:hAnsi="Times New Roman" w:eastAsia="宋体" w:cs="Times New Roman"/>
          <w:color w:val="auto"/>
          <w:sz w:val="24"/>
        </w:rPr>
        <w:t>”</w:t>
      </w:r>
      <w:r>
        <w:rPr>
          <w:rFonts w:hint="default" w:ascii="Times New Roman" w:hAnsi="Times New Roman" w:eastAsia="宋体" w:cs="Times New Roman"/>
          <w:color w:val="auto"/>
          <w:sz w:val="24"/>
        </w:rPr>
        <w:t>产业体系和八大新兴产业链</w:t>
      </w:r>
      <w:r>
        <w:rPr>
          <w:rFonts w:hint="eastAsia" w:ascii="Times New Roman" w:hAnsi="Times New Roman" w:eastAsia="宋体" w:cs="Times New Roman"/>
          <w:color w:val="auto"/>
          <w:sz w:val="24"/>
          <w:lang w:eastAsia="zh-CN"/>
        </w:rPr>
        <w:t>，</w:t>
      </w:r>
      <w:r>
        <w:rPr>
          <w:rFonts w:hint="eastAsia" w:ascii="Times New Roman" w:hAnsi="Times New Roman" w:eastAsia="宋体" w:cs="Times New Roman"/>
          <w:color w:val="auto"/>
          <w:sz w:val="24"/>
          <w:lang w:val="en-US" w:eastAsia="zh-CN"/>
        </w:rPr>
        <w:t>重点为智能制造、生命健康、集成电路、新材料、人工智能、绿色金融、艺术设计、文化传播等核心产业培养高素质应用型人才</w:t>
      </w:r>
      <w:r>
        <w:rPr>
          <w:rFonts w:hint="default" w:ascii="Times New Roman" w:hAnsi="Times New Roman" w:eastAsia="宋体" w:cs="Times New Roman"/>
          <w:color w:val="auto"/>
          <w:sz w:val="24"/>
        </w:rPr>
        <w:t>。</w:t>
      </w:r>
    </w:p>
    <w:p>
      <w:pPr>
        <w:jc w:val="both"/>
        <w:outlineLvl w:val="1"/>
        <w:rPr>
          <w:rFonts w:hint="eastAsia" w:ascii="Times New Roman" w:hAnsi="Times New Roman" w:eastAsia="黑体" w:cs="Times New Roman"/>
          <w:color w:val="auto"/>
          <w:sz w:val="28"/>
          <w:szCs w:val="28"/>
          <w:lang w:val="en-US" w:eastAsia="zh-CN"/>
        </w:rPr>
      </w:pPr>
      <w:bookmarkStart w:id="10" w:name="_Toc10265"/>
      <w:bookmarkStart w:id="11" w:name="_Toc2221"/>
      <w:bookmarkStart w:id="12" w:name="_Toc27158"/>
      <w:bookmarkStart w:id="13" w:name="_Toc75"/>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二</w:t>
      </w:r>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本科</w:t>
      </w:r>
      <w:r>
        <w:rPr>
          <w:rFonts w:hint="default" w:ascii="Times New Roman" w:hAnsi="Times New Roman" w:eastAsia="黑体" w:cs="Times New Roman"/>
          <w:color w:val="auto"/>
          <w:sz w:val="28"/>
          <w:szCs w:val="28"/>
        </w:rPr>
        <w:t>专业设置</w:t>
      </w:r>
      <w:bookmarkEnd w:id="8"/>
      <w:bookmarkEnd w:id="9"/>
      <w:bookmarkEnd w:id="10"/>
      <w:bookmarkEnd w:id="11"/>
      <w:bookmarkEnd w:id="12"/>
      <w:r>
        <w:rPr>
          <w:rFonts w:hint="eastAsia" w:ascii="Times New Roman" w:hAnsi="Times New Roman" w:eastAsia="黑体" w:cs="Times New Roman"/>
          <w:color w:val="auto"/>
          <w:sz w:val="28"/>
          <w:szCs w:val="28"/>
          <w:lang w:val="en-US" w:eastAsia="zh-CN"/>
        </w:rPr>
        <w:t>情况</w:t>
      </w:r>
      <w:bookmarkEnd w:id="13"/>
    </w:p>
    <w:p>
      <w:pPr>
        <w:keepNext w:val="0"/>
        <w:keepLines w:val="0"/>
        <w:pageBreakBefore w:val="0"/>
        <w:widowControl w:val="0"/>
        <w:kinsoku/>
        <w:wordWrap/>
        <w:overflowPunct/>
        <w:topLinePunct w:val="0"/>
        <w:autoSpaceDE/>
        <w:autoSpaceDN/>
        <w:bidi w:val="0"/>
        <w:adjustRightInd w:val="0"/>
        <w:snapToGrid w:val="0"/>
        <w:spacing w:line="400" w:lineRule="exact"/>
        <w:ind w:firstLine="480" w:firstLineChars="200"/>
        <w:jc w:val="both"/>
        <w:textAlignment w:val="auto"/>
        <w:rPr>
          <w:rFonts w:hint="default" w:ascii="Times New Roman" w:hAnsi="Times New Roman" w:eastAsia="宋体" w:cs="Times New Roman"/>
          <w:color w:val="auto"/>
          <w:sz w:val="24"/>
        </w:rPr>
      </w:pPr>
      <w:r>
        <w:rPr>
          <w:rFonts w:hint="eastAsia" w:ascii="Times New Roman" w:hAnsi="Times New Roman" w:eastAsia="宋体" w:cs="Times New Roman"/>
          <w:color w:val="auto"/>
          <w:sz w:val="24"/>
          <w:lang w:val="en-US" w:eastAsia="zh-CN"/>
        </w:rPr>
        <w:t>学校学科专业布局以理工科为主，兼顾医学、经济学、管理学、艺术学、文学等门类。学校</w:t>
      </w:r>
      <w:r>
        <w:rPr>
          <w:rFonts w:hint="default" w:ascii="Times New Roman" w:hAnsi="Times New Roman" w:eastAsia="宋体" w:cs="Times New Roman"/>
          <w:color w:val="auto"/>
          <w:sz w:val="24"/>
          <w:lang w:val="en-US" w:eastAsia="zh-CN"/>
        </w:rPr>
        <w:t>加快布局和建设计算机与电子信息类、机械与自动化类、</w:t>
      </w:r>
      <w:r>
        <w:rPr>
          <w:rFonts w:hint="default" w:ascii="Times New Roman" w:hAnsi="Times New Roman" w:cs="Times New Roman"/>
          <w:color w:val="auto"/>
          <w:sz w:val="24"/>
          <w:lang w:eastAsia="zh-CN"/>
        </w:rPr>
        <w:t>新能源</w:t>
      </w:r>
      <w:r>
        <w:rPr>
          <w:rFonts w:hint="default" w:ascii="Times New Roman" w:hAnsi="Times New Roman" w:eastAsia="宋体" w:cs="Times New Roman"/>
          <w:color w:val="auto"/>
          <w:sz w:val="24"/>
          <w:lang w:val="en-US" w:eastAsia="zh-CN"/>
        </w:rPr>
        <w:t>材料类、经济与贸易类、药学与健康类、艺术设计类、语言文化与传播类七大</w:t>
      </w:r>
      <w:r>
        <w:rPr>
          <w:rFonts w:hint="eastAsia" w:ascii="Times New Roman" w:hAnsi="Times New Roman" w:eastAsia="宋体" w:cs="Times New Roman"/>
          <w:color w:val="auto"/>
          <w:sz w:val="24"/>
          <w:lang w:val="en-US" w:eastAsia="zh-CN"/>
        </w:rPr>
        <w:t>专业集</w:t>
      </w:r>
      <w:r>
        <w:rPr>
          <w:rFonts w:hint="default" w:ascii="Times New Roman" w:hAnsi="Times New Roman" w:eastAsia="宋体" w:cs="Times New Roman"/>
          <w:color w:val="auto"/>
          <w:sz w:val="24"/>
          <w:lang w:val="en-US" w:eastAsia="zh-CN"/>
        </w:rPr>
        <w:t>群，</w:t>
      </w:r>
      <w:r>
        <w:rPr>
          <w:rFonts w:hint="eastAsia" w:ascii="Times New Roman" w:hAnsi="Times New Roman" w:eastAsia="宋体" w:cs="Times New Roman"/>
          <w:color w:val="auto"/>
          <w:sz w:val="24"/>
          <w:lang w:val="en-US" w:eastAsia="zh-CN"/>
        </w:rPr>
        <w:t>构建与</w:t>
      </w:r>
      <w:r>
        <w:rPr>
          <w:rFonts w:hint="default" w:ascii="Times New Roman" w:hAnsi="Times New Roman" w:eastAsia="宋体" w:cs="Times New Roman"/>
          <w:color w:val="auto"/>
          <w:sz w:val="24"/>
          <w:lang w:val="en-US" w:eastAsia="zh-CN"/>
        </w:rPr>
        <w:t>区域经济社会良性互动</w:t>
      </w:r>
      <w:r>
        <w:rPr>
          <w:rFonts w:hint="eastAsia" w:ascii="Times New Roman" w:hAnsi="Times New Roman" w:eastAsia="宋体" w:cs="Times New Roman"/>
          <w:color w:val="auto"/>
          <w:sz w:val="24"/>
          <w:lang w:val="en-US" w:eastAsia="zh-CN"/>
        </w:rPr>
        <w:t>、</w:t>
      </w:r>
      <w:r>
        <w:rPr>
          <w:rFonts w:hint="default" w:ascii="Times New Roman" w:hAnsi="Times New Roman" w:eastAsia="宋体" w:cs="Times New Roman"/>
          <w:color w:val="auto"/>
          <w:sz w:val="24"/>
          <w:lang w:val="en-US" w:eastAsia="zh-CN"/>
        </w:rPr>
        <w:t>结构合理、特色鲜明的应用型学科专业体系。</w:t>
      </w:r>
    </w:p>
    <w:p>
      <w:pPr>
        <w:keepNext w:val="0"/>
        <w:keepLines w:val="0"/>
        <w:pageBreakBefore w:val="0"/>
        <w:widowControl w:val="0"/>
        <w:kinsoku/>
        <w:wordWrap/>
        <w:overflowPunct/>
        <w:topLinePunct w:val="0"/>
        <w:autoSpaceDE/>
        <w:autoSpaceDN/>
        <w:bidi w:val="0"/>
        <w:adjustRightInd w:val="0"/>
        <w:snapToGrid w:val="0"/>
        <w:spacing w:line="400" w:lineRule="exact"/>
        <w:ind w:firstLine="480" w:firstLineChars="200"/>
        <w:jc w:val="both"/>
        <w:textAlignment w:val="auto"/>
        <w:rPr>
          <w:rFonts w:hint="default" w:asciiTheme="minorEastAsia" w:hAnsiTheme="minorEastAsia" w:eastAsiaTheme="minorEastAsia" w:cstheme="minorEastAsia"/>
          <w:sz w:val="24"/>
          <w:szCs w:val="24"/>
          <w:highlight w:val="none"/>
          <w:lang w:val="en-US" w:eastAsia="zh-CN"/>
        </w:rPr>
      </w:pPr>
      <w:r>
        <w:rPr>
          <w:rFonts w:hint="eastAsia" w:asciiTheme="minorEastAsia" w:hAnsiTheme="minorEastAsia" w:eastAsiaTheme="minorEastAsia" w:cstheme="minorEastAsia"/>
          <w:sz w:val="24"/>
          <w:szCs w:val="24"/>
          <w:highlight w:val="none"/>
          <w:lang w:val="en-US" w:eastAsia="zh-CN"/>
        </w:rPr>
        <w:t>2024年上半年出台《湖州学院本科专业动态调整管理办法（试行）》（湖院发〔2024〕33号），建立专业预警、调整和退出机制，稳步推进专业结构优化，提高专业建设整体水平。2023年获批高分子材料与工程、供应链管理2个专业，撤销历史学、美术学2个专业。2024年申请增设人工智能1个专业，申请撤销物联网工程1个专业。</w:t>
      </w:r>
      <w:r>
        <w:rPr>
          <w:rFonts w:hint="default" w:asciiTheme="minorEastAsia" w:hAnsiTheme="minorEastAsia" w:eastAsiaTheme="minorEastAsia" w:cstheme="minorEastAsia"/>
          <w:sz w:val="24"/>
          <w:szCs w:val="24"/>
          <w:highlight w:val="none"/>
          <w:lang w:val="en-US" w:eastAsia="zh-CN"/>
        </w:rPr>
        <w:t>学校</w:t>
      </w:r>
      <w:r>
        <w:rPr>
          <w:rFonts w:hint="eastAsia" w:asciiTheme="minorEastAsia" w:hAnsiTheme="minorEastAsia" w:eastAsiaTheme="minorEastAsia" w:cstheme="minorEastAsia"/>
          <w:sz w:val="24"/>
          <w:szCs w:val="24"/>
          <w:highlight w:val="none"/>
          <w:lang w:val="en-US" w:eastAsia="zh-CN"/>
        </w:rPr>
        <w:t>现有36个本科专业，涵盖工学、医学、管理学、经济学等8个学科门类，其中，招生专业27个</w:t>
      </w:r>
      <w:r>
        <w:rPr>
          <w:rFonts w:hint="eastAsia" w:ascii="Times New Roman" w:hAnsi="Times New Roman" w:eastAsia="宋体" w:cs="Times New Roman"/>
          <w:color w:val="auto"/>
          <w:sz w:val="24"/>
          <w:lang w:val="en-US" w:eastAsia="zh-CN"/>
        </w:rPr>
        <w:t>，</w:t>
      </w:r>
      <w:r>
        <w:rPr>
          <w:rFonts w:hint="eastAsia" w:asciiTheme="minorEastAsia" w:hAnsiTheme="minorEastAsia" w:eastAsiaTheme="minorEastAsia" w:cstheme="minorEastAsia"/>
          <w:sz w:val="24"/>
          <w:szCs w:val="24"/>
          <w:highlight w:val="none"/>
          <w:lang w:val="en-US" w:eastAsia="zh-CN"/>
        </w:rPr>
        <w:t>停招专业9个。</w:t>
      </w:r>
      <w:r>
        <w:rPr>
          <w:rFonts w:hint="default" w:asciiTheme="minorEastAsia" w:hAnsiTheme="minorEastAsia" w:eastAsiaTheme="minorEastAsia" w:cstheme="minorEastAsia"/>
          <w:sz w:val="24"/>
          <w:szCs w:val="24"/>
          <w:highlight w:val="none"/>
          <w:lang w:val="en-US" w:eastAsia="zh-CN"/>
        </w:rPr>
        <w:t>专业设置与学科支撑情况</w:t>
      </w:r>
      <w:r>
        <w:rPr>
          <w:rFonts w:hint="eastAsia" w:asciiTheme="minorEastAsia" w:hAnsiTheme="minorEastAsia" w:eastAsiaTheme="minorEastAsia" w:cstheme="minorEastAsia"/>
          <w:sz w:val="24"/>
          <w:szCs w:val="24"/>
          <w:highlight w:val="none"/>
          <w:lang w:val="en-US" w:eastAsia="zh-CN"/>
        </w:rPr>
        <w:t>见表1。</w:t>
      </w:r>
    </w:p>
    <w:p>
      <w:pPr>
        <w:spacing w:line="400" w:lineRule="exact"/>
        <w:ind w:firstLine="422" w:firstLineChars="200"/>
        <w:jc w:val="center"/>
        <w:rPr>
          <w:rFonts w:hint="default" w:ascii="Times New Roman" w:hAnsi="Times New Roman" w:eastAsia="宋体" w:cs="Times New Roman"/>
          <w:b/>
          <w:bCs/>
          <w:color w:val="auto"/>
          <w:sz w:val="21"/>
          <w:szCs w:val="21"/>
          <w:highlight w:val="none"/>
          <w:lang w:val="en-US" w:eastAsia="zh-CN"/>
        </w:rPr>
      </w:pPr>
    </w:p>
    <w:p>
      <w:pPr>
        <w:spacing w:line="400" w:lineRule="exact"/>
        <w:ind w:firstLine="420" w:firstLineChars="200"/>
        <w:jc w:val="center"/>
        <w:rPr>
          <w:rFonts w:hint="default" w:ascii="Times New Roman" w:hAnsi="Times New Roman" w:eastAsia="宋体" w:cs="Times New Roman"/>
          <w:b/>
          <w:bCs/>
          <w:color w:val="auto"/>
          <w:sz w:val="21"/>
          <w:szCs w:val="21"/>
          <w:highlight w:val="none"/>
          <w:lang w:val="en-US" w:eastAsia="zh-CN"/>
        </w:rPr>
      </w:pPr>
      <w:r>
        <w:rPr>
          <w:rFonts w:hint="default" w:ascii="Times New Roman" w:hAnsi="Times New Roman" w:eastAsia="宋体" w:cs="Times New Roman"/>
          <w:b w:val="0"/>
          <w:bCs w:val="0"/>
          <w:color w:val="auto"/>
          <w:sz w:val="21"/>
          <w:szCs w:val="21"/>
          <w:highlight w:val="none"/>
          <w:lang w:val="en-US" w:eastAsia="zh-CN"/>
        </w:rPr>
        <w:t>表1  专业设置与学科支撑情况一览表</w:t>
      </w:r>
    </w:p>
    <w:tbl>
      <w:tblPr>
        <w:tblStyle w:val="12"/>
        <w:tblW w:w="9997" w:type="dxa"/>
        <w:jc w:val="center"/>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0" w:type="dxa"/>
          <w:left w:w="108" w:type="dxa"/>
          <w:bottom w:w="0" w:type="dxa"/>
          <w:right w:w="108" w:type="dxa"/>
        </w:tblCellMar>
      </w:tblPr>
      <w:tblGrid>
        <w:gridCol w:w="642"/>
        <w:gridCol w:w="1060"/>
        <w:gridCol w:w="1060"/>
        <w:gridCol w:w="2549"/>
        <w:gridCol w:w="1134"/>
        <w:gridCol w:w="1620"/>
        <w:gridCol w:w="1932"/>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412" w:hRule="atLeast"/>
          <w:tblHeader/>
          <w:jc w:val="center"/>
        </w:trPr>
        <w:tc>
          <w:tcPr>
            <w:tcW w:w="642"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sz w:val="21"/>
                <w:szCs w:val="21"/>
                <w:highlight w:val="none"/>
              </w:rPr>
            </w:pPr>
            <w:r>
              <w:rPr>
                <w:rFonts w:hint="default" w:ascii="Times New Roman" w:hAnsi="Times New Roman" w:cs="Times New Roman" w:eastAsiaTheme="minorEastAsia"/>
                <w:b w:val="0"/>
                <w:bCs w:val="0"/>
                <w:color w:val="auto"/>
                <w:kern w:val="0"/>
                <w:sz w:val="21"/>
                <w:szCs w:val="21"/>
                <w:highlight w:val="none"/>
                <w:lang w:bidi="ar"/>
              </w:rPr>
              <w:t>序号</w:t>
            </w:r>
          </w:p>
        </w:tc>
        <w:tc>
          <w:tcPr>
            <w:tcW w:w="1060"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b w:val="0"/>
                <w:bCs w:val="0"/>
                <w:color w:val="auto"/>
                <w:kern w:val="0"/>
                <w:sz w:val="21"/>
                <w:szCs w:val="21"/>
                <w:highlight w:val="none"/>
                <w:lang w:val="en-US" w:eastAsia="zh-CN" w:bidi="ar"/>
              </w:rPr>
            </w:pPr>
            <w:r>
              <w:rPr>
                <w:rFonts w:hint="eastAsia" w:ascii="Times New Roman" w:hAnsi="Times New Roman" w:cs="Times New Roman" w:eastAsiaTheme="minorEastAsia"/>
                <w:b w:val="0"/>
                <w:bCs w:val="0"/>
                <w:color w:val="auto"/>
                <w:kern w:val="0"/>
                <w:sz w:val="21"/>
                <w:szCs w:val="21"/>
                <w:highlight w:val="none"/>
                <w:lang w:val="en-US" w:eastAsia="zh-CN" w:bidi="ar"/>
              </w:rPr>
              <w:t>所属学院</w:t>
            </w: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专业代码</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专业名称</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学科门类</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val="en-US" w:eastAsia="zh-CN" w:bidi="ar"/>
              </w:rPr>
            </w:pPr>
            <w:r>
              <w:rPr>
                <w:rFonts w:hint="eastAsia" w:ascii="Times New Roman" w:hAnsi="Times New Roman" w:cs="Times New Roman" w:eastAsiaTheme="minorEastAsia"/>
                <w:b w:val="0"/>
                <w:bCs w:val="0"/>
                <w:color w:val="auto"/>
                <w:kern w:val="0"/>
                <w:sz w:val="21"/>
                <w:szCs w:val="21"/>
                <w:highlight w:val="none"/>
                <w:lang w:val="en-US" w:eastAsia="zh-CN" w:bidi="ar"/>
              </w:rPr>
              <w:t>招生情况</w:t>
            </w:r>
          </w:p>
        </w:tc>
        <w:tc>
          <w:tcPr>
            <w:tcW w:w="193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b w:val="0"/>
                <w:bCs w:val="0"/>
                <w:color w:val="auto"/>
                <w:kern w:val="0"/>
                <w:sz w:val="21"/>
                <w:szCs w:val="21"/>
                <w:highlight w:val="none"/>
                <w:lang w:val="en-US" w:eastAsia="zh-CN" w:bidi="ar"/>
              </w:rPr>
            </w:pPr>
            <w:r>
              <w:rPr>
                <w:rFonts w:hint="default" w:ascii="Times New Roman" w:hAnsi="Times New Roman" w:cs="Times New Roman" w:eastAsiaTheme="minorEastAsia"/>
                <w:b w:val="0"/>
                <w:bCs w:val="0"/>
                <w:color w:val="auto"/>
                <w:kern w:val="0"/>
                <w:sz w:val="21"/>
                <w:szCs w:val="21"/>
                <w:highlight w:val="none"/>
                <w:lang w:val="en-US" w:eastAsia="zh-CN" w:bidi="ar"/>
              </w:rPr>
              <w:t>学科支撑</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406" w:hRule="atLeast"/>
          <w:jc w:val="center"/>
        </w:trPr>
        <w:tc>
          <w:tcPr>
            <w:tcW w:w="642"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sz w:val="21"/>
                <w:szCs w:val="21"/>
                <w:highlight w:val="none"/>
              </w:rPr>
            </w:pPr>
            <w:r>
              <w:rPr>
                <w:rFonts w:hint="default" w:ascii="Times New Roman" w:hAnsi="Times New Roman" w:cs="Times New Roman" w:eastAsiaTheme="minorEastAsia"/>
                <w:b w:val="0"/>
                <w:bCs w:val="0"/>
                <w:color w:val="auto"/>
                <w:kern w:val="0"/>
                <w:sz w:val="21"/>
                <w:szCs w:val="21"/>
                <w:highlight w:val="none"/>
                <w:lang w:bidi="ar"/>
              </w:rPr>
              <w:t>1</w:t>
            </w:r>
          </w:p>
        </w:tc>
        <w:tc>
          <w:tcPr>
            <w:tcW w:w="1060" w:type="dxa"/>
            <w:vMerge w:val="restart"/>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智能制造学院</w:t>
            </w: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sz w:val="21"/>
                <w:szCs w:val="21"/>
                <w:highlight w:val="none"/>
              </w:rPr>
            </w:pPr>
            <w:r>
              <w:rPr>
                <w:rFonts w:hint="default" w:ascii="Times New Roman" w:hAnsi="Times New Roman" w:cs="Times New Roman" w:eastAsiaTheme="minorEastAsia"/>
                <w:b w:val="0"/>
                <w:bCs w:val="0"/>
                <w:color w:val="auto"/>
                <w:kern w:val="0"/>
                <w:sz w:val="21"/>
                <w:szCs w:val="21"/>
                <w:highlight w:val="none"/>
                <w:lang w:bidi="ar"/>
              </w:rPr>
              <w:t>080202</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sz w:val="21"/>
                <w:szCs w:val="21"/>
                <w:highlight w:val="none"/>
              </w:rPr>
            </w:pPr>
            <w:r>
              <w:rPr>
                <w:rFonts w:hint="default" w:ascii="Times New Roman" w:hAnsi="Times New Roman" w:cs="Times New Roman" w:eastAsiaTheme="minorEastAsia"/>
                <w:b w:val="0"/>
                <w:bCs w:val="0"/>
                <w:color w:val="auto"/>
                <w:kern w:val="0"/>
                <w:sz w:val="21"/>
                <w:szCs w:val="21"/>
                <w:highlight w:val="none"/>
                <w:lang w:bidi="ar"/>
              </w:rPr>
              <w:t>机械设计制造及其自动化</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sz w:val="21"/>
                <w:szCs w:val="21"/>
                <w:highlight w:val="none"/>
              </w:rPr>
            </w:pPr>
            <w:r>
              <w:rPr>
                <w:rFonts w:hint="default" w:ascii="Times New Roman" w:hAnsi="Times New Roman" w:cs="Times New Roman" w:eastAsiaTheme="minorEastAsia"/>
                <w:b w:val="0"/>
                <w:bCs w:val="0"/>
                <w:color w:val="auto"/>
                <w:kern w:val="0"/>
                <w:sz w:val="21"/>
                <w:szCs w:val="21"/>
                <w:highlight w:val="none"/>
                <w:lang w:bidi="ar"/>
              </w:rPr>
              <w:t>工学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restart"/>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r>
              <w:rPr>
                <w:rFonts w:hint="eastAsia" w:ascii="Times New Roman" w:hAnsi="Times New Roman" w:cs="Times New Roman"/>
                <w:color w:val="auto"/>
                <w:kern w:val="0"/>
                <w:sz w:val="21"/>
                <w:szCs w:val="21"/>
                <w:highlight w:val="none"/>
                <w:lang w:val="en-US" w:eastAsia="zh-CN" w:bidi="ar"/>
              </w:rPr>
              <w:t>机械工程</w:t>
            </w:r>
            <w:r>
              <w:rPr>
                <w:rFonts w:hint="eastAsia" w:ascii="Times New Roman" w:hAnsi="Times New Roman" w:cs="Times New Roman"/>
                <w:color w:val="auto"/>
                <w:kern w:val="0"/>
                <w:sz w:val="21"/>
                <w:szCs w:val="21"/>
                <w:highlight w:val="none"/>
                <w:lang w:val="en-US" w:eastAsia="zh-CN" w:bidi="ar"/>
              </w:rPr>
              <w:br w:type="textWrapping"/>
            </w:r>
            <w:r>
              <w:rPr>
                <w:rFonts w:hint="eastAsia" w:ascii="Times New Roman" w:hAnsi="Times New Roman" w:cs="Times New Roman"/>
                <w:color w:val="auto"/>
                <w:kern w:val="0"/>
                <w:sz w:val="21"/>
                <w:szCs w:val="21"/>
                <w:highlight w:val="none"/>
                <w:lang w:val="en-US" w:eastAsia="zh-CN" w:bidi="ar"/>
              </w:rPr>
              <w:t>控制科学与工程</w:t>
            </w:r>
          </w:p>
          <w:p>
            <w:pPr>
              <w:widowControl/>
              <w:ind w:firstLine="0" w:firstLineChars="0"/>
              <w:jc w:val="center"/>
              <w:textAlignment w:val="center"/>
              <w:rPr>
                <w:rFonts w:hint="default" w:ascii="Times New Roman" w:hAnsi="Times New Roman" w:cs="Times New Roman"/>
                <w:color w:val="auto"/>
                <w:kern w:val="0"/>
                <w:sz w:val="21"/>
                <w:szCs w:val="21"/>
                <w:highlight w:val="none"/>
                <w:lang w:val="en-US" w:eastAsia="zh-CN" w:bidi="ar"/>
              </w:rPr>
            </w:pPr>
            <w:r>
              <w:rPr>
                <w:rFonts w:hint="eastAsia" w:ascii="Times New Roman" w:hAnsi="Times New Roman" w:cs="Times New Roman"/>
                <w:color w:val="auto"/>
                <w:kern w:val="0"/>
                <w:sz w:val="21"/>
                <w:szCs w:val="21"/>
                <w:highlight w:val="none"/>
                <w:lang w:val="en-US" w:eastAsia="zh-CN" w:bidi="ar"/>
              </w:rPr>
              <w:t>材料科学与工程</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406" w:hRule="atLeast"/>
          <w:jc w:val="center"/>
        </w:trPr>
        <w:tc>
          <w:tcPr>
            <w:tcW w:w="642"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sz w:val="21"/>
                <w:szCs w:val="21"/>
                <w:highlight w:val="none"/>
              </w:rPr>
            </w:pPr>
            <w:r>
              <w:rPr>
                <w:rFonts w:hint="default" w:ascii="Times New Roman" w:hAnsi="Times New Roman" w:cs="Times New Roman" w:eastAsiaTheme="minorEastAsia"/>
                <w:b w:val="0"/>
                <w:bCs w:val="0"/>
                <w:color w:val="auto"/>
                <w:kern w:val="0"/>
                <w:sz w:val="21"/>
                <w:szCs w:val="21"/>
                <w:highlight w:val="none"/>
                <w:lang w:bidi="ar"/>
              </w:rPr>
              <w:t>2</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080204</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机械电子工程</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工学</w:t>
            </w:r>
          </w:p>
        </w:tc>
        <w:tc>
          <w:tcPr>
            <w:tcW w:w="1620"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停招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406" w:hRule="atLeast"/>
          <w:jc w:val="center"/>
        </w:trPr>
        <w:tc>
          <w:tcPr>
            <w:tcW w:w="642"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sz w:val="21"/>
                <w:szCs w:val="21"/>
                <w:highlight w:val="none"/>
              </w:rPr>
            </w:pPr>
            <w:r>
              <w:rPr>
                <w:rFonts w:hint="default" w:ascii="Times New Roman" w:hAnsi="Times New Roman" w:cs="Times New Roman" w:eastAsiaTheme="minorEastAsia"/>
                <w:b w:val="0"/>
                <w:bCs w:val="0"/>
                <w:color w:val="auto"/>
                <w:kern w:val="0"/>
                <w:sz w:val="21"/>
                <w:szCs w:val="21"/>
                <w:highlight w:val="none"/>
                <w:lang w:bidi="ar"/>
              </w:rPr>
              <w:t>3</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080601</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电气工程及其自动化</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工学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406"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b w:val="0"/>
                <w:bCs w:val="0"/>
                <w:color w:val="auto"/>
                <w:kern w:val="2"/>
                <w:sz w:val="21"/>
                <w:szCs w:val="21"/>
                <w:highlight w:val="none"/>
                <w:lang w:val="en-US" w:eastAsia="zh-CN" w:bidi="ar-SA"/>
              </w:rPr>
            </w:pPr>
            <w:r>
              <w:rPr>
                <w:rFonts w:hint="eastAsia" w:ascii="Times New Roman" w:hAnsi="Times New Roman" w:cs="Times New Roman"/>
                <w:b w:val="0"/>
                <w:bCs w:val="0"/>
                <w:color w:val="auto"/>
                <w:kern w:val="0"/>
                <w:sz w:val="21"/>
                <w:szCs w:val="21"/>
                <w:highlight w:val="none"/>
                <w:lang w:val="en-US" w:eastAsia="zh-CN" w:bidi="ar"/>
              </w:rPr>
              <w:t>4</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val="en-US" w:eastAsia="zh-CN" w:bidi="ar"/>
              </w:rPr>
            </w:pPr>
            <w:r>
              <w:rPr>
                <w:rFonts w:hint="default" w:ascii="Times New Roman" w:hAnsi="Times New Roman" w:cs="Times New Roman" w:eastAsiaTheme="minorEastAsia"/>
                <w:b w:val="0"/>
                <w:bCs w:val="0"/>
                <w:color w:val="auto"/>
                <w:kern w:val="0"/>
                <w:sz w:val="21"/>
                <w:szCs w:val="21"/>
                <w:highlight w:val="none"/>
                <w:lang w:bidi="ar"/>
              </w:rPr>
              <w:t>080216T</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val="en-US" w:eastAsia="zh-CN" w:bidi="ar"/>
              </w:rPr>
            </w:pPr>
            <w:r>
              <w:rPr>
                <w:rFonts w:hint="default" w:ascii="Times New Roman" w:hAnsi="Times New Roman" w:cs="Times New Roman" w:eastAsiaTheme="minorEastAsia"/>
                <w:b w:val="0"/>
                <w:bCs w:val="0"/>
                <w:color w:val="auto"/>
                <w:kern w:val="0"/>
                <w:sz w:val="21"/>
                <w:szCs w:val="21"/>
                <w:highlight w:val="none"/>
                <w:lang w:bidi="ar"/>
              </w:rPr>
              <w:t>新能源汽车工程</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val="en-US" w:eastAsia="zh-CN" w:bidi="ar"/>
              </w:rPr>
            </w:pPr>
            <w:r>
              <w:rPr>
                <w:rFonts w:hint="default" w:ascii="Times New Roman" w:hAnsi="Times New Roman" w:cs="Times New Roman" w:eastAsiaTheme="minorEastAsia"/>
                <w:b w:val="0"/>
                <w:bCs w:val="0"/>
                <w:color w:val="auto"/>
                <w:kern w:val="0"/>
                <w:sz w:val="21"/>
                <w:szCs w:val="21"/>
                <w:highlight w:val="none"/>
                <w:lang w:bidi="ar"/>
              </w:rPr>
              <w:t>工学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b w:val="0"/>
                <w:bCs w:val="0"/>
                <w:color w:val="auto"/>
                <w:sz w:val="21"/>
                <w:szCs w:val="21"/>
                <w:highlight w:val="none"/>
                <w:lang w:eastAsia="zh-CN"/>
              </w:rPr>
            </w:pPr>
            <w:r>
              <w:rPr>
                <w:rFonts w:hint="eastAsia" w:ascii="Times New Roman" w:hAnsi="Times New Roman" w:cs="Times New Roman"/>
                <w:b w:val="0"/>
                <w:bCs w:val="0"/>
                <w:color w:val="auto"/>
                <w:kern w:val="0"/>
                <w:sz w:val="21"/>
                <w:szCs w:val="21"/>
                <w:highlight w:val="none"/>
                <w:lang w:val="en-US" w:eastAsia="zh-CN" w:bidi="ar"/>
              </w:rPr>
              <w:t>5</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080403</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材料化学</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工学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b w:val="0"/>
                <w:bCs w:val="0"/>
                <w:color w:val="auto"/>
                <w:sz w:val="21"/>
                <w:szCs w:val="21"/>
                <w:highlight w:val="none"/>
                <w:lang w:eastAsia="zh-CN"/>
              </w:rPr>
            </w:pPr>
            <w:r>
              <w:rPr>
                <w:rFonts w:hint="eastAsia" w:ascii="Times New Roman" w:hAnsi="Times New Roman" w:cs="Times New Roman"/>
                <w:b w:val="0"/>
                <w:bCs w:val="0"/>
                <w:color w:val="auto"/>
                <w:kern w:val="0"/>
                <w:sz w:val="21"/>
                <w:szCs w:val="21"/>
                <w:highlight w:val="none"/>
                <w:lang w:val="en-US" w:eastAsia="zh-CN" w:bidi="ar"/>
              </w:rPr>
              <w:t>6</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080414T</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新能源材料与器件</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工学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7</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080407</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高分子材料与工程</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val="en-US" w:eastAsia="zh-CN" w:bidi="ar"/>
              </w:rPr>
            </w:pPr>
            <w:r>
              <w:rPr>
                <w:rFonts w:hint="eastAsia" w:ascii="Times New Roman" w:hAnsi="Times New Roman" w:cs="Times New Roman" w:eastAsiaTheme="minorEastAsia"/>
                <w:b w:val="0"/>
                <w:bCs w:val="0"/>
                <w:color w:val="auto"/>
                <w:kern w:val="0"/>
                <w:sz w:val="21"/>
                <w:szCs w:val="21"/>
                <w:highlight w:val="none"/>
                <w:lang w:val="en-US" w:eastAsia="zh-CN" w:bidi="ar"/>
              </w:rPr>
              <w:t>工学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b w:val="0"/>
                <w:bCs w:val="0"/>
                <w:color w:val="auto"/>
                <w:sz w:val="21"/>
                <w:szCs w:val="21"/>
                <w:highlight w:val="none"/>
                <w:lang w:eastAsia="zh-CN"/>
              </w:rPr>
            </w:pPr>
            <w:r>
              <w:rPr>
                <w:rFonts w:hint="eastAsia" w:ascii="Times New Roman" w:hAnsi="Times New Roman" w:cs="Times New Roman"/>
                <w:b w:val="0"/>
                <w:bCs w:val="0"/>
                <w:color w:val="auto"/>
                <w:kern w:val="0"/>
                <w:sz w:val="21"/>
                <w:szCs w:val="21"/>
                <w:highlight w:val="none"/>
                <w:lang w:val="en-US" w:eastAsia="zh-CN" w:bidi="ar"/>
              </w:rPr>
              <w:t>8</w:t>
            </w:r>
          </w:p>
        </w:tc>
        <w:tc>
          <w:tcPr>
            <w:tcW w:w="1060" w:type="dxa"/>
            <w:vMerge w:val="restart"/>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电子信息学院</w:t>
            </w: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080705</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光电信息科学与工程</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工学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restart"/>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r>
              <w:rPr>
                <w:rFonts w:hint="eastAsia" w:ascii="Times New Roman" w:hAnsi="Times New Roman" w:cs="Times New Roman"/>
                <w:color w:val="auto"/>
                <w:kern w:val="0"/>
                <w:sz w:val="21"/>
                <w:szCs w:val="21"/>
                <w:highlight w:val="none"/>
                <w:lang w:val="en-US" w:eastAsia="zh-CN" w:bidi="ar"/>
              </w:rPr>
              <w:t>电子科学与技术</w:t>
            </w:r>
            <w:r>
              <w:rPr>
                <w:rFonts w:hint="eastAsia" w:ascii="Times New Roman" w:hAnsi="Times New Roman" w:cs="Times New Roman"/>
                <w:color w:val="auto"/>
                <w:kern w:val="0"/>
                <w:sz w:val="21"/>
                <w:szCs w:val="21"/>
                <w:highlight w:val="none"/>
                <w:lang w:val="en-US" w:eastAsia="zh-CN" w:bidi="ar"/>
              </w:rPr>
              <w:br w:type="textWrapping"/>
            </w:r>
            <w:r>
              <w:rPr>
                <w:rFonts w:hint="eastAsia" w:ascii="Times New Roman" w:hAnsi="Times New Roman" w:cs="Times New Roman"/>
                <w:color w:val="auto"/>
                <w:kern w:val="0"/>
                <w:sz w:val="21"/>
                <w:szCs w:val="21"/>
                <w:highlight w:val="none"/>
                <w:lang w:val="en-US" w:eastAsia="zh-CN" w:bidi="ar"/>
              </w:rPr>
              <w:t>计算机科学与技术</w:t>
            </w:r>
            <w:r>
              <w:rPr>
                <w:rFonts w:hint="eastAsia" w:ascii="Times New Roman" w:hAnsi="Times New Roman" w:cs="Times New Roman"/>
                <w:color w:val="auto"/>
                <w:kern w:val="0"/>
                <w:sz w:val="21"/>
                <w:szCs w:val="21"/>
                <w:highlight w:val="none"/>
                <w:lang w:val="en-US" w:eastAsia="zh-CN" w:bidi="ar"/>
              </w:rPr>
              <w:br w:type="textWrapping"/>
            </w:r>
            <w:r>
              <w:rPr>
                <w:rFonts w:hint="eastAsia" w:ascii="Times New Roman" w:hAnsi="Times New Roman" w:cs="Times New Roman"/>
                <w:color w:val="auto"/>
                <w:kern w:val="0"/>
                <w:sz w:val="21"/>
                <w:szCs w:val="21"/>
                <w:highlight w:val="none"/>
                <w:lang w:val="en-US" w:eastAsia="zh-CN" w:bidi="ar"/>
              </w:rPr>
              <w:t>信息与通信工程</w:t>
            </w:r>
          </w:p>
          <w:p>
            <w:pPr>
              <w:widowControl/>
              <w:ind w:firstLine="0" w:firstLineChars="0"/>
              <w:jc w:val="center"/>
              <w:textAlignment w:val="center"/>
              <w:rPr>
                <w:rFonts w:hint="default" w:ascii="Times New Roman" w:hAnsi="Times New Roman" w:cs="Times New Roman"/>
                <w:color w:val="auto"/>
                <w:kern w:val="0"/>
                <w:sz w:val="21"/>
                <w:szCs w:val="21"/>
                <w:highlight w:val="none"/>
                <w:lang w:val="en-US" w:eastAsia="zh-CN" w:bidi="ar"/>
              </w:rPr>
            </w:pPr>
            <w:r>
              <w:rPr>
                <w:rFonts w:hint="eastAsia" w:ascii="Times New Roman" w:hAnsi="Times New Roman" w:cs="Times New Roman"/>
                <w:color w:val="auto"/>
                <w:kern w:val="0"/>
                <w:sz w:val="21"/>
                <w:szCs w:val="21"/>
                <w:highlight w:val="none"/>
                <w:lang w:val="en-US" w:eastAsia="zh-CN" w:bidi="ar"/>
              </w:rPr>
              <w:t>光学工程</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b w:val="0"/>
                <w:bCs w:val="0"/>
                <w:color w:val="auto"/>
                <w:sz w:val="21"/>
                <w:szCs w:val="21"/>
                <w:highlight w:val="none"/>
                <w:lang w:eastAsia="zh-CN"/>
              </w:rPr>
            </w:pPr>
            <w:r>
              <w:rPr>
                <w:rFonts w:hint="eastAsia" w:ascii="Times New Roman" w:hAnsi="Times New Roman" w:cs="Times New Roman"/>
                <w:b w:val="0"/>
                <w:bCs w:val="0"/>
                <w:color w:val="auto"/>
                <w:kern w:val="0"/>
                <w:sz w:val="21"/>
                <w:szCs w:val="21"/>
                <w:highlight w:val="none"/>
                <w:lang w:val="en-US" w:eastAsia="zh-CN" w:bidi="ar"/>
              </w:rPr>
              <w:t>9</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080701</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电子信息工程</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工学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left"/>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sz w:val="21"/>
                <w:szCs w:val="21"/>
                <w:highlight w:val="none"/>
                <w:lang w:val="en-US" w:eastAsia="zh-CN"/>
              </w:rPr>
            </w:pPr>
            <w:r>
              <w:rPr>
                <w:rFonts w:hint="eastAsia" w:ascii="Times New Roman" w:hAnsi="Times New Roman" w:cs="Times New Roman"/>
                <w:b w:val="0"/>
                <w:bCs w:val="0"/>
                <w:color w:val="auto"/>
                <w:kern w:val="0"/>
                <w:sz w:val="21"/>
                <w:szCs w:val="21"/>
                <w:highlight w:val="none"/>
                <w:lang w:val="en-US" w:eastAsia="zh-CN" w:bidi="ar"/>
              </w:rPr>
              <w:t>10</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080901</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计算机科学与技术</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工学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left"/>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b w:val="0"/>
                <w:bCs w:val="0"/>
                <w:color w:val="auto"/>
                <w:sz w:val="21"/>
                <w:szCs w:val="21"/>
                <w:highlight w:val="none"/>
                <w:lang w:eastAsia="zh-CN"/>
              </w:rPr>
            </w:pPr>
            <w:r>
              <w:rPr>
                <w:rFonts w:hint="default" w:ascii="Times New Roman" w:hAnsi="Times New Roman" w:cs="Times New Roman" w:eastAsiaTheme="minorEastAsia"/>
                <w:b w:val="0"/>
                <w:bCs w:val="0"/>
                <w:color w:val="auto"/>
                <w:kern w:val="0"/>
                <w:sz w:val="21"/>
                <w:szCs w:val="21"/>
                <w:highlight w:val="none"/>
                <w:lang w:bidi="ar"/>
              </w:rPr>
              <w:t>1</w:t>
            </w:r>
            <w:r>
              <w:rPr>
                <w:rFonts w:hint="eastAsia" w:ascii="Times New Roman" w:hAnsi="Times New Roman" w:cs="Times New Roman"/>
                <w:b w:val="0"/>
                <w:bCs w:val="0"/>
                <w:color w:val="auto"/>
                <w:kern w:val="0"/>
                <w:sz w:val="21"/>
                <w:szCs w:val="21"/>
                <w:highlight w:val="none"/>
                <w:lang w:val="en-US" w:eastAsia="zh-CN" w:bidi="ar"/>
              </w:rPr>
              <w:t>1</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080902</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软件工程</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工学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left"/>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kern w:val="0"/>
                <w:sz w:val="21"/>
                <w:szCs w:val="21"/>
                <w:highlight w:val="none"/>
                <w:lang w:eastAsia="zh-CN" w:bidi="ar"/>
              </w:rPr>
            </w:pPr>
            <w:r>
              <w:rPr>
                <w:rFonts w:hint="default" w:ascii="Times New Roman" w:hAnsi="Times New Roman" w:cs="Times New Roman" w:eastAsiaTheme="minorEastAsia"/>
                <w:color w:val="auto"/>
                <w:kern w:val="0"/>
                <w:sz w:val="21"/>
                <w:szCs w:val="21"/>
                <w:highlight w:val="none"/>
                <w:lang w:bidi="ar"/>
              </w:rPr>
              <w:t>1</w:t>
            </w:r>
            <w:r>
              <w:rPr>
                <w:rFonts w:hint="eastAsia" w:ascii="Times New Roman" w:hAnsi="Times New Roman" w:cs="Times New Roman"/>
                <w:color w:val="auto"/>
                <w:kern w:val="0"/>
                <w:sz w:val="21"/>
                <w:szCs w:val="21"/>
                <w:highlight w:val="none"/>
                <w:lang w:val="en-US" w:eastAsia="zh-CN" w:bidi="ar"/>
              </w:rPr>
              <w:t>2</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080905</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物联网工程</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工学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停招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eastAsia="zh-CN"/>
              </w:rPr>
            </w:pPr>
            <w:r>
              <w:rPr>
                <w:rFonts w:hint="default" w:ascii="Times New Roman" w:hAnsi="Times New Roman" w:cs="Times New Roman" w:eastAsiaTheme="minorEastAsia"/>
                <w:color w:val="auto"/>
                <w:kern w:val="0"/>
                <w:sz w:val="21"/>
                <w:szCs w:val="21"/>
                <w:highlight w:val="none"/>
                <w:lang w:bidi="ar"/>
              </w:rPr>
              <w:t>1</w:t>
            </w:r>
            <w:r>
              <w:rPr>
                <w:rFonts w:hint="eastAsia" w:ascii="Times New Roman" w:hAnsi="Times New Roman" w:cs="Times New Roman"/>
                <w:color w:val="auto"/>
                <w:kern w:val="0"/>
                <w:sz w:val="21"/>
                <w:szCs w:val="21"/>
                <w:highlight w:val="none"/>
                <w:lang w:val="en-US" w:eastAsia="zh-CN" w:bidi="ar"/>
              </w:rPr>
              <w:t>3</w:t>
            </w:r>
          </w:p>
        </w:tc>
        <w:tc>
          <w:tcPr>
            <w:tcW w:w="1060" w:type="dxa"/>
            <w:vMerge w:val="restart"/>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生命健康学院</w:t>
            </w: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083001</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生物工程</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工学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restart"/>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r>
              <w:rPr>
                <w:rFonts w:hint="eastAsia" w:ascii="Times New Roman" w:hAnsi="Times New Roman" w:cs="Times New Roman"/>
                <w:color w:val="auto"/>
                <w:kern w:val="0"/>
                <w:sz w:val="21"/>
                <w:szCs w:val="21"/>
                <w:highlight w:val="none"/>
                <w:lang w:val="en-US" w:eastAsia="zh-CN" w:bidi="ar"/>
              </w:rPr>
              <w:t>生物工程</w:t>
            </w:r>
            <w:r>
              <w:rPr>
                <w:rFonts w:hint="eastAsia" w:ascii="Times New Roman" w:hAnsi="Times New Roman" w:cs="Times New Roman"/>
                <w:color w:val="auto"/>
                <w:kern w:val="0"/>
                <w:sz w:val="21"/>
                <w:szCs w:val="21"/>
                <w:highlight w:val="none"/>
                <w:lang w:val="en-US" w:eastAsia="zh-CN" w:bidi="ar"/>
              </w:rPr>
              <w:br w:type="textWrapping"/>
            </w:r>
            <w:r>
              <w:rPr>
                <w:rFonts w:hint="eastAsia" w:ascii="Times New Roman" w:hAnsi="Times New Roman" w:cs="Times New Roman"/>
                <w:color w:val="auto"/>
                <w:kern w:val="0"/>
                <w:sz w:val="21"/>
                <w:szCs w:val="21"/>
                <w:highlight w:val="none"/>
                <w:lang w:val="en-US" w:eastAsia="zh-CN" w:bidi="ar"/>
              </w:rPr>
              <w:t>护理学</w:t>
            </w:r>
          </w:p>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r>
              <w:rPr>
                <w:rFonts w:hint="eastAsia" w:ascii="Times New Roman" w:hAnsi="Times New Roman" w:cs="Times New Roman"/>
                <w:color w:val="auto"/>
                <w:kern w:val="0"/>
                <w:sz w:val="21"/>
                <w:szCs w:val="21"/>
                <w:highlight w:val="none"/>
                <w:lang w:val="en-US" w:eastAsia="zh-CN" w:bidi="ar"/>
              </w:rPr>
              <w:t>药学</w:t>
            </w:r>
          </w:p>
          <w:p>
            <w:pPr>
              <w:widowControl/>
              <w:ind w:firstLine="0" w:firstLineChars="0"/>
              <w:jc w:val="center"/>
              <w:textAlignment w:val="center"/>
              <w:rPr>
                <w:rFonts w:hint="default" w:ascii="Times New Roman" w:hAnsi="Times New Roman" w:cs="Times New Roman"/>
                <w:color w:val="auto"/>
                <w:kern w:val="0"/>
                <w:sz w:val="21"/>
                <w:szCs w:val="21"/>
                <w:highlight w:val="none"/>
                <w:lang w:val="en-US" w:eastAsia="zh-CN" w:bidi="ar"/>
              </w:rPr>
            </w:pPr>
            <w:r>
              <w:rPr>
                <w:rFonts w:hint="eastAsia" w:ascii="Times New Roman" w:hAnsi="Times New Roman" w:cs="Times New Roman"/>
                <w:color w:val="auto"/>
                <w:kern w:val="0"/>
                <w:sz w:val="21"/>
                <w:szCs w:val="21"/>
                <w:highlight w:val="none"/>
                <w:lang w:val="en-US" w:eastAsia="zh-CN" w:bidi="ar"/>
              </w:rPr>
              <w:t>体育学</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eastAsia="zh-CN"/>
              </w:rPr>
            </w:pPr>
            <w:r>
              <w:rPr>
                <w:rFonts w:hint="default" w:ascii="Times New Roman" w:hAnsi="Times New Roman" w:cs="Times New Roman" w:eastAsiaTheme="minorEastAsia"/>
                <w:color w:val="auto"/>
                <w:kern w:val="0"/>
                <w:sz w:val="21"/>
                <w:szCs w:val="21"/>
                <w:highlight w:val="none"/>
                <w:lang w:bidi="ar"/>
              </w:rPr>
              <w:t>1</w:t>
            </w:r>
            <w:r>
              <w:rPr>
                <w:rFonts w:hint="eastAsia" w:ascii="Times New Roman" w:hAnsi="Times New Roman" w:cs="Times New Roman"/>
                <w:color w:val="auto"/>
                <w:kern w:val="0"/>
                <w:sz w:val="21"/>
                <w:szCs w:val="21"/>
                <w:highlight w:val="none"/>
                <w:lang w:val="en-US" w:eastAsia="zh-CN" w:bidi="ar"/>
              </w:rPr>
              <w:t>4</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081302</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制药工程</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工学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left"/>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val="en-US" w:eastAsia="zh-CN"/>
              </w:rPr>
            </w:pPr>
            <w:r>
              <w:rPr>
                <w:rFonts w:hint="default" w:ascii="Times New Roman" w:hAnsi="Times New Roman" w:cs="Times New Roman" w:eastAsiaTheme="minorEastAsia"/>
                <w:color w:val="auto"/>
                <w:kern w:val="0"/>
                <w:sz w:val="21"/>
                <w:szCs w:val="21"/>
                <w:highlight w:val="none"/>
                <w:lang w:bidi="ar"/>
              </w:rPr>
              <w:t>1</w:t>
            </w:r>
            <w:r>
              <w:rPr>
                <w:rFonts w:hint="eastAsia" w:ascii="Times New Roman" w:hAnsi="Times New Roman" w:cs="Times New Roman"/>
                <w:color w:val="auto"/>
                <w:kern w:val="0"/>
                <w:sz w:val="21"/>
                <w:szCs w:val="21"/>
                <w:highlight w:val="none"/>
                <w:lang w:val="en-US" w:eastAsia="zh-CN" w:bidi="ar"/>
              </w:rPr>
              <w:t>5</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101101</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护理学</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医学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left"/>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val="en-US" w:eastAsia="zh-CN"/>
              </w:rPr>
            </w:pPr>
            <w:r>
              <w:rPr>
                <w:rFonts w:hint="default" w:ascii="Times New Roman" w:hAnsi="Times New Roman" w:cs="Times New Roman" w:eastAsiaTheme="minorEastAsia"/>
                <w:color w:val="auto"/>
                <w:kern w:val="0"/>
                <w:sz w:val="21"/>
                <w:szCs w:val="21"/>
                <w:highlight w:val="none"/>
                <w:lang w:bidi="ar"/>
              </w:rPr>
              <w:t>1</w:t>
            </w:r>
            <w:r>
              <w:rPr>
                <w:rFonts w:hint="eastAsia" w:ascii="Times New Roman" w:hAnsi="Times New Roman" w:cs="Times New Roman"/>
                <w:color w:val="auto"/>
                <w:kern w:val="0"/>
                <w:sz w:val="21"/>
                <w:szCs w:val="21"/>
                <w:highlight w:val="none"/>
                <w:lang w:val="en-US" w:eastAsia="zh-CN" w:bidi="ar"/>
              </w:rPr>
              <w:t>6</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040203</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社会体育指导与管理</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教育学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left"/>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val="en-US" w:eastAsia="zh-CN"/>
              </w:rPr>
            </w:pPr>
            <w:r>
              <w:rPr>
                <w:rFonts w:hint="default" w:ascii="Times New Roman" w:hAnsi="Times New Roman" w:cs="Times New Roman" w:eastAsiaTheme="minorEastAsia"/>
                <w:color w:val="auto"/>
                <w:kern w:val="0"/>
                <w:sz w:val="21"/>
                <w:szCs w:val="21"/>
                <w:highlight w:val="none"/>
                <w:lang w:bidi="ar"/>
              </w:rPr>
              <w:t>1</w:t>
            </w:r>
            <w:r>
              <w:rPr>
                <w:rFonts w:hint="eastAsia" w:ascii="Times New Roman" w:hAnsi="Times New Roman" w:cs="Times New Roman"/>
                <w:color w:val="auto"/>
                <w:kern w:val="0"/>
                <w:sz w:val="21"/>
                <w:szCs w:val="21"/>
                <w:highlight w:val="none"/>
                <w:lang w:val="en-US" w:eastAsia="zh-CN" w:bidi="ar"/>
              </w:rPr>
              <w:t>7</w:t>
            </w:r>
          </w:p>
        </w:tc>
        <w:tc>
          <w:tcPr>
            <w:tcW w:w="1060" w:type="dxa"/>
            <w:vMerge w:val="restart"/>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b w:val="0"/>
                <w:bCs w:val="0"/>
                <w:color w:val="auto"/>
                <w:kern w:val="0"/>
                <w:sz w:val="21"/>
                <w:szCs w:val="21"/>
                <w:highlight w:val="none"/>
                <w:lang w:eastAsia="zh-CN" w:bidi="ar"/>
              </w:rPr>
            </w:pPr>
            <w:r>
              <w:rPr>
                <w:rFonts w:hint="eastAsia" w:ascii="Times New Roman" w:hAnsi="Times New Roman" w:cs="Times New Roman" w:eastAsiaTheme="minorEastAsia"/>
                <w:b w:val="0"/>
                <w:bCs w:val="0"/>
                <w:color w:val="auto"/>
                <w:kern w:val="0"/>
                <w:sz w:val="21"/>
                <w:szCs w:val="21"/>
                <w:highlight w:val="none"/>
                <w:lang w:eastAsia="zh-CN" w:bidi="ar"/>
              </w:rPr>
              <w:t>经济管理学院</w:t>
            </w: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020401</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国际经济与贸易</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经济学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restart"/>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r>
              <w:rPr>
                <w:rFonts w:hint="eastAsia" w:ascii="Times New Roman" w:hAnsi="Times New Roman" w:cs="Times New Roman"/>
                <w:color w:val="auto"/>
                <w:kern w:val="0"/>
                <w:sz w:val="21"/>
                <w:szCs w:val="21"/>
                <w:highlight w:val="none"/>
                <w:lang w:val="en-US" w:eastAsia="zh-CN" w:bidi="ar"/>
              </w:rPr>
              <w:t>应用经济学</w:t>
            </w:r>
          </w:p>
          <w:p>
            <w:pPr>
              <w:widowControl/>
              <w:ind w:firstLine="0" w:firstLineChars="0"/>
              <w:jc w:val="center"/>
              <w:textAlignment w:val="center"/>
              <w:rPr>
                <w:rFonts w:hint="default" w:ascii="Times New Roman" w:hAnsi="Times New Roman" w:cs="Times New Roman"/>
                <w:color w:val="auto"/>
                <w:kern w:val="0"/>
                <w:sz w:val="21"/>
                <w:szCs w:val="21"/>
                <w:highlight w:val="none"/>
                <w:lang w:val="en-US" w:eastAsia="zh-CN" w:bidi="ar"/>
              </w:rPr>
            </w:pPr>
            <w:r>
              <w:rPr>
                <w:rFonts w:hint="eastAsia" w:ascii="Times New Roman" w:hAnsi="Times New Roman" w:cs="Times New Roman"/>
                <w:color w:val="auto"/>
                <w:kern w:val="0"/>
                <w:sz w:val="21"/>
                <w:szCs w:val="21"/>
                <w:highlight w:val="none"/>
                <w:lang w:val="en-US" w:eastAsia="zh-CN" w:bidi="ar"/>
              </w:rPr>
              <w:t>管理科学与工程</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val="en-US" w:eastAsia="zh-CN"/>
              </w:rPr>
            </w:pPr>
            <w:r>
              <w:rPr>
                <w:rFonts w:hint="default" w:ascii="Times New Roman" w:hAnsi="Times New Roman" w:cs="Times New Roman" w:eastAsiaTheme="minorEastAsia"/>
                <w:color w:val="auto"/>
                <w:kern w:val="0"/>
                <w:sz w:val="21"/>
                <w:szCs w:val="21"/>
                <w:highlight w:val="none"/>
                <w:lang w:bidi="ar"/>
              </w:rPr>
              <w:t>1</w:t>
            </w:r>
            <w:r>
              <w:rPr>
                <w:rFonts w:hint="eastAsia" w:ascii="Times New Roman" w:hAnsi="Times New Roman" w:cs="Times New Roman"/>
                <w:color w:val="auto"/>
                <w:kern w:val="0"/>
                <w:sz w:val="21"/>
                <w:szCs w:val="21"/>
                <w:highlight w:val="none"/>
                <w:lang w:val="en-US" w:eastAsia="zh-CN" w:bidi="ar"/>
              </w:rPr>
              <w:t>8</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020307T</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经济与金融</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经济学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val="en-US" w:eastAsia="zh-CN"/>
              </w:rPr>
            </w:pPr>
            <w:r>
              <w:rPr>
                <w:rFonts w:hint="default" w:ascii="Times New Roman" w:hAnsi="Times New Roman" w:cs="Times New Roman" w:eastAsiaTheme="minorEastAsia"/>
                <w:color w:val="auto"/>
                <w:kern w:val="0"/>
                <w:sz w:val="21"/>
                <w:szCs w:val="21"/>
                <w:highlight w:val="none"/>
                <w:lang w:bidi="ar"/>
              </w:rPr>
              <w:t>1</w:t>
            </w:r>
            <w:r>
              <w:rPr>
                <w:rFonts w:hint="eastAsia" w:ascii="Times New Roman" w:hAnsi="Times New Roman" w:cs="Times New Roman"/>
                <w:color w:val="auto"/>
                <w:kern w:val="0"/>
                <w:sz w:val="21"/>
                <w:szCs w:val="21"/>
                <w:highlight w:val="none"/>
                <w:lang w:val="en-US" w:eastAsia="zh-CN" w:bidi="ar"/>
              </w:rPr>
              <w:t>9</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120801</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电子商务</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管理学</w:t>
            </w:r>
          </w:p>
        </w:tc>
        <w:tc>
          <w:tcPr>
            <w:tcW w:w="1620"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停招</w:t>
            </w:r>
          </w:p>
        </w:tc>
        <w:tc>
          <w:tcPr>
            <w:tcW w:w="1932"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highlight w:val="none"/>
                <w:lang w:val="en-US" w:eastAsia="zh-CN"/>
              </w:rPr>
            </w:pPr>
            <w:r>
              <w:rPr>
                <w:rFonts w:hint="eastAsia" w:ascii="Times New Roman" w:hAnsi="Times New Roman" w:cs="Times New Roman"/>
                <w:color w:val="auto"/>
                <w:kern w:val="0"/>
                <w:sz w:val="21"/>
                <w:szCs w:val="21"/>
                <w:highlight w:val="none"/>
                <w:lang w:val="en-US" w:eastAsia="zh-CN" w:bidi="ar"/>
              </w:rPr>
              <w:t>20</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120202</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市场营销</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管理学</w:t>
            </w:r>
          </w:p>
        </w:tc>
        <w:tc>
          <w:tcPr>
            <w:tcW w:w="1620"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停招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eastAsia="zh-CN"/>
              </w:rPr>
            </w:pPr>
            <w:r>
              <w:rPr>
                <w:rFonts w:hint="default" w:ascii="Times New Roman" w:hAnsi="Times New Roman" w:cs="Times New Roman" w:eastAsiaTheme="minorEastAsia"/>
                <w:color w:val="auto"/>
                <w:kern w:val="0"/>
                <w:sz w:val="21"/>
                <w:szCs w:val="21"/>
                <w:highlight w:val="none"/>
                <w:lang w:bidi="ar"/>
              </w:rPr>
              <w:t>2</w:t>
            </w:r>
            <w:r>
              <w:rPr>
                <w:rFonts w:hint="eastAsia" w:ascii="Times New Roman" w:hAnsi="Times New Roman" w:cs="Times New Roman"/>
                <w:color w:val="auto"/>
                <w:kern w:val="0"/>
                <w:sz w:val="21"/>
                <w:szCs w:val="21"/>
                <w:highlight w:val="none"/>
                <w:lang w:val="en-US" w:eastAsia="zh-CN" w:bidi="ar"/>
              </w:rPr>
              <w:t>1</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120601</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物流管理</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管理学</w:t>
            </w:r>
          </w:p>
        </w:tc>
        <w:tc>
          <w:tcPr>
            <w:tcW w:w="1620"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停招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highlight w:val="none"/>
                <w:lang w:val="en-US" w:eastAsia="zh-CN"/>
              </w:rPr>
            </w:pPr>
            <w:r>
              <w:rPr>
                <w:rFonts w:hint="default" w:ascii="Times New Roman" w:hAnsi="Times New Roman" w:cs="Times New Roman" w:eastAsiaTheme="minorEastAsia"/>
                <w:color w:val="auto"/>
                <w:kern w:val="0"/>
                <w:sz w:val="21"/>
                <w:szCs w:val="21"/>
                <w:highlight w:val="none"/>
                <w:lang w:bidi="ar"/>
              </w:rPr>
              <w:t>2</w:t>
            </w:r>
            <w:r>
              <w:rPr>
                <w:rFonts w:hint="eastAsia" w:ascii="Times New Roman" w:hAnsi="Times New Roman" w:cs="Times New Roman"/>
                <w:color w:val="auto"/>
                <w:kern w:val="0"/>
                <w:sz w:val="21"/>
                <w:szCs w:val="21"/>
                <w:highlight w:val="none"/>
                <w:lang w:val="en-US" w:eastAsia="zh-CN" w:bidi="ar"/>
              </w:rPr>
              <w:t>2</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120402</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行政管理</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管理学</w:t>
            </w:r>
          </w:p>
        </w:tc>
        <w:tc>
          <w:tcPr>
            <w:tcW w:w="1620"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停招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eastAsia="zh-CN"/>
              </w:rPr>
            </w:pPr>
            <w:r>
              <w:rPr>
                <w:rFonts w:hint="default" w:ascii="Times New Roman" w:hAnsi="Times New Roman" w:cs="Times New Roman" w:eastAsiaTheme="minorEastAsia"/>
                <w:color w:val="auto"/>
                <w:kern w:val="0"/>
                <w:sz w:val="21"/>
                <w:szCs w:val="21"/>
                <w:highlight w:val="none"/>
                <w:lang w:bidi="ar"/>
              </w:rPr>
              <w:t>2</w:t>
            </w:r>
            <w:r>
              <w:rPr>
                <w:rFonts w:hint="eastAsia" w:ascii="Times New Roman" w:hAnsi="Times New Roman" w:cs="Times New Roman"/>
                <w:color w:val="auto"/>
                <w:kern w:val="0"/>
                <w:sz w:val="21"/>
                <w:szCs w:val="21"/>
                <w:highlight w:val="none"/>
                <w:lang w:val="en-US" w:eastAsia="zh-CN" w:bidi="ar"/>
              </w:rPr>
              <w:t>3</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120803T</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跨境电子商务</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管理学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eastAsia="zh-CN"/>
              </w:rPr>
            </w:pPr>
            <w:r>
              <w:rPr>
                <w:rFonts w:hint="default" w:ascii="Times New Roman" w:hAnsi="Times New Roman" w:cs="Times New Roman" w:eastAsiaTheme="minorEastAsia"/>
                <w:color w:val="auto"/>
                <w:kern w:val="0"/>
                <w:sz w:val="21"/>
                <w:szCs w:val="21"/>
                <w:highlight w:val="none"/>
                <w:lang w:bidi="ar"/>
              </w:rPr>
              <w:t>2</w:t>
            </w:r>
            <w:r>
              <w:rPr>
                <w:rFonts w:hint="eastAsia" w:ascii="Times New Roman" w:hAnsi="Times New Roman" w:cs="Times New Roman"/>
                <w:color w:val="auto"/>
                <w:kern w:val="0"/>
                <w:sz w:val="21"/>
                <w:szCs w:val="21"/>
                <w:highlight w:val="none"/>
                <w:lang w:val="en-US" w:eastAsia="zh-CN" w:bidi="ar"/>
              </w:rPr>
              <w:t>4</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120904T</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旅游管理与服务教育</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管理学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eastAsia="zh-CN"/>
              </w:rPr>
            </w:pPr>
            <w:r>
              <w:rPr>
                <w:rFonts w:hint="default" w:ascii="Times New Roman" w:hAnsi="Times New Roman" w:cs="Times New Roman" w:eastAsiaTheme="minorEastAsia"/>
                <w:color w:val="auto"/>
                <w:kern w:val="0"/>
                <w:sz w:val="21"/>
                <w:szCs w:val="21"/>
                <w:highlight w:val="none"/>
                <w:lang w:bidi="ar"/>
              </w:rPr>
              <w:t>2</w:t>
            </w:r>
            <w:r>
              <w:rPr>
                <w:rFonts w:hint="eastAsia" w:ascii="Times New Roman" w:hAnsi="Times New Roman" w:cs="Times New Roman"/>
                <w:color w:val="auto"/>
                <w:kern w:val="0"/>
                <w:sz w:val="21"/>
                <w:szCs w:val="21"/>
                <w:highlight w:val="none"/>
                <w:lang w:val="en-US" w:eastAsia="zh-CN" w:bidi="ar"/>
              </w:rPr>
              <w:t>5</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120803T</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val="en-US" w:eastAsia="zh-CN" w:bidi="ar"/>
              </w:rPr>
            </w:pPr>
            <w:r>
              <w:rPr>
                <w:rFonts w:hint="eastAsia" w:ascii="Times New Roman" w:hAnsi="Times New Roman" w:cs="Times New Roman" w:eastAsiaTheme="minorEastAsia"/>
                <w:b w:val="0"/>
                <w:bCs w:val="0"/>
                <w:color w:val="auto"/>
                <w:kern w:val="0"/>
                <w:sz w:val="21"/>
                <w:szCs w:val="21"/>
                <w:highlight w:val="none"/>
                <w:lang w:val="en-US" w:eastAsia="zh-CN" w:bidi="ar"/>
              </w:rPr>
              <w:t>供应链管理</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val="en-US" w:eastAsia="zh-CN" w:bidi="ar"/>
              </w:rPr>
            </w:pPr>
            <w:r>
              <w:rPr>
                <w:rFonts w:hint="eastAsia" w:ascii="Times New Roman" w:hAnsi="Times New Roman" w:cs="Times New Roman" w:eastAsiaTheme="minorEastAsia"/>
                <w:b w:val="0"/>
                <w:bCs w:val="0"/>
                <w:color w:val="auto"/>
                <w:kern w:val="0"/>
                <w:sz w:val="21"/>
                <w:szCs w:val="21"/>
                <w:highlight w:val="none"/>
                <w:lang w:val="en-US" w:eastAsia="zh-CN" w:bidi="ar"/>
              </w:rPr>
              <w:t>管理学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eastAsia="zh-CN"/>
              </w:rPr>
            </w:pPr>
            <w:r>
              <w:rPr>
                <w:rFonts w:hint="default" w:ascii="Times New Roman" w:hAnsi="Times New Roman" w:cs="Times New Roman" w:eastAsiaTheme="minorEastAsia"/>
                <w:color w:val="auto"/>
                <w:kern w:val="0"/>
                <w:sz w:val="21"/>
                <w:szCs w:val="21"/>
                <w:highlight w:val="none"/>
                <w:lang w:bidi="ar"/>
              </w:rPr>
              <w:t>2</w:t>
            </w:r>
            <w:r>
              <w:rPr>
                <w:rFonts w:hint="eastAsia" w:ascii="Times New Roman" w:hAnsi="Times New Roman" w:cs="Times New Roman"/>
                <w:color w:val="auto"/>
                <w:kern w:val="0"/>
                <w:sz w:val="21"/>
                <w:szCs w:val="21"/>
                <w:highlight w:val="none"/>
                <w:lang w:val="en-US" w:eastAsia="zh-CN" w:bidi="ar"/>
              </w:rPr>
              <w:t>6</w:t>
            </w:r>
          </w:p>
        </w:tc>
        <w:tc>
          <w:tcPr>
            <w:tcW w:w="1060" w:type="dxa"/>
            <w:vMerge w:val="restart"/>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b w:val="0"/>
                <w:bCs w:val="0"/>
                <w:color w:val="auto"/>
                <w:kern w:val="0"/>
                <w:sz w:val="21"/>
                <w:szCs w:val="21"/>
                <w:highlight w:val="none"/>
                <w:lang w:eastAsia="zh-CN" w:bidi="ar"/>
              </w:rPr>
            </w:pPr>
            <w:r>
              <w:rPr>
                <w:rFonts w:hint="eastAsia" w:ascii="Times New Roman" w:hAnsi="Times New Roman" w:cs="Times New Roman" w:eastAsiaTheme="minorEastAsia"/>
                <w:b w:val="0"/>
                <w:bCs w:val="0"/>
                <w:color w:val="auto"/>
                <w:kern w:val="0"/>
                <w:sz w:val="21"/>
                <w:szCs w:val="21"/>
                <w:highlight w:val="none"/>
                <w:lang w:eastAsia="zh-CN" w:bidi="ar"/>
              </w:rPr>
              <w:t>人文学院</w:t>
            </w: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050101</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汉语言文学</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文学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restart"/>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r>
              <w:rPr>
                <w:rFonts w:hint="eastAsia" w:ascii="Times New Roman" w:hAnsi="Times New Roman" w:cs="Times New Roman"/>
                <w:color w:val="auto"/>
                <w:kern w:val="0"/>
                <w:sz w:val="21"/>
                <w:szCs w:val="21"/>
                <w:highlight w:val="none"/>
                <w:lang w:val="en-US" w:eastAsia="zh-CN" w:bidi="ar"/>
              </w:rPr>
              <w:t>中国语言文学</w:t>
            </w:r>
            <w:r>
              <w:rPr>
                <w:rFonts w:hint="eastAsia" w:ascii="Times New Roman" w:hAnsi="Times New Roman" w:cs="Times New Roman"/>
                <w:color w:val="auto"/>
                <w:kern w:val="0"/>
                <w:sz w:val="21"/>
                <w:szCs w:val="21"/>
                <w:highlight w:val="none"/>
                <w:lang w:val="en-US" w:eastAsia="zh-CN" w:bidi="ar"/>
              </w:rPr>
              <w:br w:type="textWrapping"/>
            </w:r>
            <w:r>
              <w:rPr>
                <w:rFonts w:hint="eastAsia" w:ascii="Times New Roman" w:hAnsi="Times New Roman" w:cs="Times New Roman"/>
                <w:color w:val="auto"/>
                <w:kern w:val="0"/>
                <w:sz w:val="21"/>
                <w:szCs w:val="21"/>
                <w:highlight w:val="none"/>
                <w:lang w:val="en-US" w:eastAsia="zh-CN" w:bidi="ar"/>
              </w:rPr>
              <w:t>汉语言文学</w:t>
            </w:r>
            <w:r>
              <w:rPr>
                <w:rFonts w:hint="eastAsia" w:ascii="Times New Roman" w:hAnsi="Times New Roman" w:cs="Times New Roman"/>
                <w:color w:val="auto"/>
                <w:kern w:val="0"/>
                <w:sz w:val="21"/>
                <w:szCs w:val="21"/>
                <w:highlight w:val="none"/>
                <w:lang w:val="en-US" w:eastAsia="zh-CN" w:bidi="ar"/>
              </w:rPr>
              <w:br w:type="textWrapping"/>
            </w:r>
            <w:r>
              <w:rPr>
                <w:rFonts w:hint="eastAsia" w:ascii="Times New Roman" w:hAnsi="Times New Roman" w:cs="Times New Roman"/>
                <w:color w:val="auto"/>
                <w:kern w:val="0"/>
                <w:sz w:val="21"/>
                <w:szCs w:val="21"/>
                <w:highlight w:val="none"/>
                <w:lang w:val="en-US" w:eastAsia="zh-CN" w:bidi="ar"/>
              </w:rPr>
              <w:t>外国语言文学</w:t>
            </w:r>
          </w:p>
          <w:p>
            <w:pPr>
              <w:widowControl/>
              <w:ind w:firstLine="0" w:firstLineChars="0"/>
              <w:jc w:val="center"/>
              <w:textAlignment w:val="center"/>
              <w:rPr>
                <w:rFonts w:hint="default" w:ascii="Times New Roman" w:hAnsi="Times New Roman" w:cs="Times New Roman"/>
                <w:color w:val="auto"/>
                <w:kern w:val="0"/>
                <w:sz w:val="21"/>
                <w:szCs w:val="21"/>
                <w:highlight w:val="none"/>
                <w:lang w:val="en-US" w:eastAsia="zh-CN" w:bidi="ar"/>
              </w:rPr>
            </w:pPr>
            <w:r>
              <w:rPr>
                <w:rFonts w:hint="eastAsia" w:ascii="Times New Roman" w:hAnsi="Times New Roman" w:cs="Times New Roman"/>
                <w:color w:val="auto"/>
                <w:kern w:val="0"/>
                <w:sz w:val="21"/>
                <w:szCs w:val="21"/>
                <w:highlight w:val="none"/>
                <w:lang w:val="en-US" w:eastAsia="zh-CN" w:bidi="ar"/>
              </w:rPr>
              <w:t>新闻传播学</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eastAsia="zh-CN"/>
              </w:rPr>
            </w:pPr>
            <w:r>
              <w:rPr>
                <w:rFonts w:hint="default" w:ascii="Times New Roman" w:hAnsi="Times New Roman" w:cs="Times New Roman" w:eastAsiaTheme="minorEastAsia"/>
                <w:color w:val="auto"/>
                <w:kern w:val="0"/>
                <w:sz w:val="21"/>
                <w:szCs w:val="21"/>
                <w:highlight w:val="none"/>
                <w:lang w:bidi="ar"/>
              </w:rPr>
              <w:t>2</w:t>
            </w:r>
            <w:r>
              <w:rPr>
                <w:rFonts w:hint="eastAsia" w:ascii="Times New Roman" w:hAnsi="Times New Roman" w:cs="Times New Roman"/>
                <w:color w:val="auto"/>
                <w:kern w:val="0"/>
                <w:sz w:val="21"/>
                <w:szCs w:val="21"/>
                <w:highlight w:val="none"/>
                <w:lang w:val="en-US" w:eastAsia="zh-CN" w:bidi="ar"/>
              </w:rPr>
              <w:t>7</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050303</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广告学</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文学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eastAsia="zh-CN"/>
              </w:rPr>
            </w:pPr>
            <w:r>
              <w:rPr>
                <w:rFonts w:hint="default" w:ascii="Times New Roman" w:hAnsi="Times New Roman" w:cs="Times New Roman" w:eastAsiaTheme="minorEastAsia"/>
                <w:color w:val="auto"/>
                <w:kern w:val="0"/>
                <w:sz w:val="21"/>
                <w:szCs w:val="21"/>
                <w:highlight w:val="none"/>
                <w:lang w:bidi="ar"/>
              </w:rPr>
              <w:t>2</w:t>
            </w:r>
            <w:r>
              <w:rPr>
                <w:rFonts w:hint="eastAsia" w:ascii="Times New Roman" w:hAnsi="Times New Roman" w:cs="Times New Roman"/>
                <w:color w:val="auto"/>
                <w:kern w:val="0"/>
                <w:sz w:val="21"/>
                <w:szCs w:val="21"/>
                <w:highlight w:val="none"/>
                <w:lang w:val="en-US" w:eastAsia="zh-CN" w:bidi="ar"/>
              </w:rPr>
              <w:t>8</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050107T</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秘书学</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文学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停招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eastAsia="zh-CN"/>
              </w:rPr>
            </w:pPr>
            <w:r>
              <w:rPr>
                <w:rFonts w:hint="default" w:ascii="Times New Roman" w:hAnsi="Times New Roman" w:cs="Times New Roman" w:eastAsiaTheme="minorEastAsia"/>
                <w:color w:val="auto"/>
                <w:kern w:val="0"/>
                <w:sz w:val="21"/>
                <w:szCs w:val="21"/>
                <w:highlight w:val="none"/>
                <w:lang w:bidi="ar"/>
              </w:rPr>
              <w:t>2</w:t>
            </w:r>
            <w:r>
              <w:rPr>
                <w:rFonts w:hint="eastAsia" w:ascii="Times New Roman" w:hAnsi="Times New Roman" w:cs="Times New Roman"/>
                <w:color w:val="auto"/>
                <w:kern w:val="0"/>
                <w:sz w:val="21"/>
                <w:szCs w:val="21"/>
                <w:highlight w:val="none"/>
                <w:lang w:val="en-US" w:eastAsia="zh-CN" w:bidi="ar"/>
              </w:rPr>
              <w:t>9</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050201</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英语</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文学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highlight w:val="none"/>
                <w:lang w:val="en-US" w:eastAsia="zh-CN"/>
              </w:rPr>
            </w:pPr>
            <w:r>
              <w:rPr>
                <w:rFonts w:hint="eastAsia" w:ascii="Times New Roman" w:hAnsi="Times New Roman" w:cs="Times New Roman"/>
                <w:color w:val="auto"/>
                <w:kern w:val="0"/>
                <w:sz w:val="21"/>
                <w:szCs w:val="21"/>
                <w:highlight w:val="none"/>
                <w:lang w:val="en-US" w:eastAsia="zh-CN" w:bidi="ar"/>
              </w:rPr>
              <w:t>30</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050207</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日语</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文学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停招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eastAsia="zh-CN"/>
              </w:rPr>
            </w:pPr>
            <w:r>
              <w:rPr>
                <w:rFonts w:hint="default" w:ascii="Times New Roman" w:hAnsi="Times New Roman" w:cs="Times New Roman" w:eastAsiaTheme="minorEastAsia"/>
                <w:color w:val="auto"/>
                <w:kern w:val="0"/>
                <w:sz w:val="21"/>
                <w:szCs w:val="21"/>
                <w:highlight w:val="none"/>
                <w:lang w:bidi="ar"/>
              </w:rPr>
              <w:t>3</w:t>
            </w:r>
            <w:r>
              <w:rPr>
                <w:rFonts w:hint="eastAsia" w:ascii="Times New Roman" w:hAnsi="Times New Roman" w:cs="Times New Roman"/>
                <w:color w:val="auto"/>
                <w:kern w:val="0"/>
                <w:sz w:val="21"/>
                <w:szCs w:val="21"/>
                <w:highlight w:val="none"/>
                <w:lang w:val="en-US" w:eastAsia="zh-CN" w:bidi="ar"/>
              </w:rPr>
              <w:t>1</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050262</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商务英语</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文学</w:t>
            </w:r>
          </w:p>
        </w:tc>
        <w:tc>
          <w:tcPr>
            <w:tcW w:w="1620"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停招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2"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eastAsia="zh-CN"/>
              </w:rPr>
            </w:pPr>
            <w:r>
              <w:rPr>
                <w:rFonts w:hint="default" w:ascii="Times New Roman" w:hAnsi="Times New Roman" w:cs="Times New Roman" w:eastAsiaTheme="minorEastAsia"/>
                <w:color w:val="auto"/>
                <w:kern w:val="0"/>
                <w:sz w:val="21"/>
                <w:szCs w:val="21"/>
                <w:highlight w:val="none"/>
                <w:lang w:bidi="ar"/>
              </w:rPr>
              <w:t>3</w:t>
            </w:r>
            <w:r>
              <w:rPr>
                <w:rFonts w:hint="eastAsia" w:ascii="Times New Roman" w:hAnsi="Times New Roman" w:cs="Times New Roman"/>
                <w:color w:val="auto"/>
                <w:kern w:val="0"/>
                <w:sz w:val="21"/>
                <w:szCs w:val="21"/>
                <w:highlight w:val="none"/>
                <w:lang w:val="en-US" w:eastAsia="zh-CN" w:bidi="ar"/>
              </w:rPr>
              <w:t>2</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050306T</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网络与新媒体</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文学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eastAsia="zh-CN"/>
              </w:rPr>
            </w:pPr>
            <w:r>
              <w:rPr>
                <w:rFonts w:hint="default" w:ascii="Times New Roman" w:hAnsi="Times New Roman" w:cs="Times New Roman" w:eastAsiaTheme="minorEastAsia"/>
                <w:color w:val="auto"/>
                <w:kern w:val="0"/>
                <w:sz w:val="21"/>
                <w:szCs w:val="21"/>
                <w:highlight w:val="none"/>
                <w:lang w:bidi="ar"/>
              </w:rPr>
              <w:t>3</w:t>
            </w:r>
            <w:r>
              <w:rPr>
                <w:rFonts w:hint="eastAsia" w:ascii="Times New Roman" w:hAnsi="Times New Roman" w:cs="Times New Roman"/>
                <w:color w:val="auto"/>
                <w:kern w:val="0"/>
                <w:sz w:val="21"/>
                <w:szCs w:val="21"/>
                <w:highlight w:val="none"/>
                <w:lang w:val="en-US" w:eastAsia="zh-CN" w:bidi="ar"/>
              </w:rPr>
              <w:t>3</w:t>
            </w:r>
          </w:p>
        </w:tc>
        <w:tc>
          <w:tcPr>
            <w:tcW w:w="1060" w:type="dxa"/>
            <w:vMerge w:val="restart"/>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设计学院</w:t>
            </w: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130502</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视觉传达设计</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艺术学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restart"/>
            <w:tcBorders>
              <w:tl2br w:val="nil"/>
              <w:tr2bl w:val="nil"/>
            </w:tcBorders>
            <w:noWrap w:val="0"/>
            <w:vAlign w:val="center"/>
          </w:tcPr>
          <w:p>
            <w:pPr>
              <w:widowControl/>
              <w:ind w:firstLine="0" w:firstLineChars="0"/>
              <w:jc w:val="center"/>
              <w:textAlignment w:val="center"/>
              <w:rPr>
                <w:rFonts w:hint="default" w:ascii="Times New Roman" w:hAnsi="Times New Roman" w:cs="Times New Roman"/>
                <w:color w:val="auto"/>
                <w:kern w:val="0"/>
                <w:sz w:val="21"/>
                <w:szCs w:val="21"/>
                <w:highlight w:val="none"/>
                <w:lang w:val="en-US" w:eastAsia="zh-CN" w:bidi="ar"/>
              </w:rPr>
            </w:pPr>
            <w:r>
              <w:rPr>
                <w:rFonts w:hint="eastAsia" w:ascii="Times New Roman" w:hAnsi="Times New Roman" w:cs="Times New Roman"/>
                <w:color w:val="auto"/>
                <w:kern w:val="0"/>
                <w:sz w:val="21"/>
                <w:szCs w:val="21"/>
                <w:highlight w:val="none"/>
                <w:lang w:val="en-US" w:eastAsia="zh-CN" w:bidi="ar"/>
              </w:rPr>
              <w:t>设计学</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eastAsia="zh-CN"/>
              </w:rPr>
            </w:pPr>
            <w:r>
              <w:rPr>
                <w:rFonts w:hint="default" w:ascii="Times New Roman" w:hAnsi="Times New Roman" w:cs="Times New Roman" w:eastAsiaTheme="minorEastAsia"/>
                <w:color w:val="auto"/>
                <w:kern w:val="0"/>
                <w:sz w:val="21"/>
                <w:szCs w:val="21"/>
                <w:highlight w:val="none"/>
                <w:lang w:bidi="ar"/>
              </w:rPr>
              <w:t>3</w:t>
            </w:r>
            <w:r>
              <w:rPr>
                <w:rFonts w:hint="eastAsia" w:ascii="Times New Roman" w:hAnsi="Times New Roman" w:cs="Times New Roman"/>
                <w:color w:val="auto"/>
                <w:kern w:val="0"/>
                <w:sz w:val="21"/>
                <w:szCs w:val="21"/>
                <w:highlight w:val="none"/>
                <w:lang w:val="en-US" w:eastAsia="zh-CN" w:bidi="ar"/>
              </w:rPr>
              <w:t>4</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130503</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环境设计</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艺术学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80" w:hRule="atLeast"/>
          <w:jc w:val="center"/>
        </w:trPr>
        <w:tc>
          <w:tcPr>
            <w:tcW w:w="642" w:type="dxa"/>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highlight w:val="none"/>
                <w:lang w:eastAsia="zh-CN"/>
              </w:rPr>
            </w:pPr>
            <w:r>
              <w:rPr>
                <w:rFonts w:hint="default" w:ascii="Times New Roman" w:hAnsi="Times New Roman" w:cs="Times New Roman" w:eastAsiaTheme="minorEastAsia"/>
                <w:color w:val="auto"/>
                <w:kern w:val="0"/>
                <w:sz w:val="21"/>
                <w:szCs w:val="21"/>
                <w:highlight w:val="none"/>
                <w:lang w:bidi="ar"/>
              </w:rPr>
              <w:t>3</w:t>
            </w:r>
            <w:r>
              <w:rPr>
                <w:rFonts w:hint="eastAsia" w:ascii="Times New Roman" w:hAnsi="Times New Roman" w:cs="Times New Roman"/>
                <w:color w:val="auto"/>
                <w:kern w:val="0"/>
                <w:sz w:val="21"/>
                <w:szCs w:val="21"/>
                <w:highlight w:val="none"/>
                <w:lang w:val="en-US" w:eastAsia="zh-CN" w:bidi="ar"/>
              </w:rPr>
              <w:t>5</w:t>
            </w:r>
          </w:p>
        </w:tc>
        <w:tc>
          <w:tcPr>
            <w:tcW w:w="1060" w:type="dxa"/>
            <w:vMerge w:val="continue"/>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130504</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产品设计</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艺术学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vMerge w:val="continue"/>
            <w:tcBorders>
              <w:tl2br w:val="nil"/>
              <w:tr2bl w:val="nil"/>
            </w:tcBorders>
            <w:noWrap w:val="0"/>
            <w:vAlign w:val="center"/>
          </w:tcPr>
          <w:p>
            <w:pPr>
              <w:widowControl/>
              <w:ind w:firstLine="0" w:firstLineChars="0"/>
              <w:jc w:val="center"/>
              <w:textAlignment w:val="center"/>
              <w:rPr>
                <w:rFonts w:hint="eastAsia" w:ascii="Times New Roman" w:hAnsi="Times New Roman" w:cs="Times New Roman"/>
                <w:color w:val="auto"/>
                <w:kern w:val="0"/>
                <w:sz w:val="21"/>
                <w:szCs w:val="21"/>
                <w:highlight w:val="none"/>
                <w:lang w:val="en-US" w:eastAsia="zh-CN" w:bidi="ar"/>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399" w:hRule="atLeast"/>
          <w:jc w:val="center"/>
        </w:trPr>
        <w:tc>
          <w:tcPr>
            <w:tcW w:w="642"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highlight w:val="none"/>
              </w:rPr>
            </w:pPr>
            <w:r>
              <w:rPr>
                <w:rFonts w:hint="default" w:ascii="Times New Roman" w:hAnsi="Times New Roman" w:cs="Times New Roman" w:eastAsiaTheme="minorEastAsia"/>
                <w:color w:val="auto"/>
                <w:kern w:val="0"/>
                <w:sz w:val="21"/>
                <w:szCs w:val="21"/>
                <w:highlight w:val="none"/>
                <w:lang w:bidi="ar"/>
              </w:rPr>
              <w:t>36</w:t>
            </w: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马克思主义学院（公共教学部）</w:t>
            </w:r>
          </w:p>
        </w:tc>
        <w:tc>
          <w:tcPr>
            <w:tcW w:w="106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030503</w:t>
            </w:r>
          </w:p>
        </w:tc>
        <w:tc>
          <w:tcPr>
            <w:tcW w:w="2549"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思想政治教育</w:t>
            </w:r>
          </w:p>
        </w:tc>
        <w:tc>
          <w:tcPr>
            <w:tcW w:w="1134"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eastAsiaTheme="minorEastAsia"/>
                <w:b w:val="0"/>
                <w:bCs w:val="0"/>
                <w:color w:val="auto"/>
                <w:kern w:val="0"/>
                <w:sz w:val="21"/>
                <w:szCs w:val="21"/>
                <w:highlight w:val="none"/>
                <w:lang w:bidi="ar"/>
              </w:rPr>
            </w:pPr>
            <w:r>
              <w:rPr>
                <w:rFonts w:hint="default" w:ascii="Times New Roman" w:hAnsi="Times New Roman" w:cs="Times New Roman" w:eastAsiaTheme="minorEastAsia"/>
                <w:b w:val="0"/>
                <w:bCs w:val="0"/>
                <w:color w:val="auto"/>
                <w:kern w:val="0"/>
                <w:sz w:val="21"/>
                <w:szCs w:val="21"/>
                <w:highlight w:val="none"/>
                <w:lang w:bidi="ar"/>
              </w:rPr>
              <w:t>法学</w:t>
            </w:r>
          </w:p>
        </w:tc>
        <w:tc>
          <w:tcPr>
            <w:tcW w:w="1620"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b w:val="0"/>
                <w:bCs w:val="0"/>
                <w:color w:val="auto"/>
                <w:kern w:val="0"/>
                <w:sz w:val="21"/>
                <w:szCs w:val="21"/>
                <w:highlight w:val="none"/>
                <w:lang w:val="en-US" w:eastAsia="zh-CN" w:bidi="ar"/>
              </w:rPr>
            </w:pPr>
            <w:r>
              <w:rPr>
                <w:rFonts w:hint="eastAsia" w:ascii="Times New Roman" w:hAnsi="Times New Roman" w:cs="Times New Roman"/>
                <w:b w:val="0"/>
                <w:bCs w:val="0"/>
                <w:color w:val="auto"/>
                <w:kern w:val="0"/>
                <w:sz w:val="21"/>
                <w:szCs w:val="21"/>
                <w:highlight w:val="none"/>
                <w:lang w:val="en-US" w:eastAsia="zh-CN" w:bidi="ar"/>
              </w:rPr>
              <w:t>在招</w:t>
            </w:r>
          </w:p>
        </w:tc>
        <w:tc>
          <w:tcPr>
            <w:tcW w:w="1932" w:type="dxa"/>
            <w:tcBorders>
              <w:tl2br w:val="nil"/>
              <w:tr2bl w:val="nil"/>
            </w:tcBorders>
            <w:noWrap w:val="0"/>
            <w:vAlign w:val="center"/>
          </w:tcPr>
          <w:p>
            <w:pPr>
              <w:widowControl/>
              <w:ind w:firstLine="0" w:firstLineChars="0"/>
              <w:jc w:val="center"/>
              <w:textAlignment w:val="center"/>
              <w:rPr>
                <w:rFonts w:hint="default" w:ascii="Times New Roman" w:hAnsi="Times New Roman" w:cs="Times New Roman"/>
                <w:color w:val="auto"/>
                <w:kern w:val="0"/>
                <w:sz w:val="21"/>
                <w:szCs w:val="21"/>
                <w:highlight w:val="none"/>
                <w:lang w:val="en-US" w:eastAsia="zh-CN" w:bidi="ar"/>
              </w:rPr>
            </w:pPr>
            <w:r>
              <w:rPr>
                <w:rFonts w:hint="eastAsia" w:ascii="Times New Roman" w:hAnsi="Times New Roman" w:cs="Times New Roman"/>
                <w:color w:val="auto"/>
                <w:kern w:val="0"/>
                <w:sz w:val="21"/>
                <w:szCs w:val="21"/>
                <w:highlight w:val="none"/>
                <w:lang w:val="en-US" w:eastAsia="zh-CN" w:bidi="ar"/>
              </w:rPr>
              <w:t>马克思主义理论</w:t>
            </w:r>
          </w:p>
        </w:tc>
      </w:tr>
    </w:tbl>
    <w:p/>
    <w:p>
      <w:pPr>
        <w:jc w:val="both"/>
        <w:outlineLvl w:val="1"/>
        <w:rPr>
          <w:rFonts w:hint="default" w:ascii="Times New Roman" w:hAnsi="Times New Roman" w:eastAsia="黑体" w:cs="Times New Roman"/>
          <w:color w:val="auto"/>
          <w:sz w:val="28"/>
          <w:szCs w:val="28"/>
        </w:rPr>
      </w:pPr>
      <w:bookmarkStart w:id="14" w:name="_Toc4359"/>
      <w:r>
        <w:rPr>
          <w:rFonts w:hint="default" w:ascii="Times New Roman" w:hAnsi="Times New Roman" w:eastAsia="黑体" w:cs="Times New Roman"/>
          <w:color w:val="auto"/>
          <w:sz w:val="28"/>
          <w:szCs w:val="28"/>
        </w:rPr>
        <w:t>（三）</w:t>
      </w:r>
      <w:r>
        <w:rPr>
          <w:rFonts w:hint="eastAsia" w:ascii="Times New Roman" w:hAnsi="Times New Roman" w:eastAsia="黑体" w:cs="Times New Roman"/>
          <w:color w:val="auto"/>
          <w:sz w:val="28"/>
          <w:szCs w:val="28"/>
          <w:lang w:val="en-US" w:eastAsia="zh-CN"/>
        </w:rPr>
        <w:t>全日制</w:t>
      </w:r>
      <w:r>
        <w:rPr>
          <w:rFonts w:hint="default" w:ascii="Times New Roman" w:hAnsi="Times New Roman" w:eastAsia="黑体" w:cs="Times New Roman"/>
          <w:color w:val="auto"/>
          <w:sz w:val="28"/>
          <w:szCs w:val="28"/>
        </w:rPr>
        <w:t>在校生情况</w:t>
      </w:r>
      <w:bookmarkEnd w:id="14"/>
    </w:p>
    <w:p>
      <w:pPr>
        <w:keepNext w:val="0"/>
        <w:keepLines w:val="0"/>
        <w:pageBreakBefore w:val="0"/>
        <w:widowControl w:val="0"/>
        <w:kinsoku/>
        <w:wordWrap/>
        <w:overflowPunct/>
        <w:topLinePunct w:val="0"/>
        <w:autoSpaceDE/>
        <w:autoSpaceDN/>
        <w:bidi w:val="0"/>
        <w:adjustRightInd w:val="0"/>
        <w:snapToGrid w:val="0"/>
        <w:spacing w:line="400" w:lineRule="exact"/>
        <w:ind w:firstLine="480" w:firstLineChars="200"/>
        <w:jc w:val="both"/>
        <w:textAlignment w:val="auto"/>
        <w:rPr>
          <w:rFonts w:hint="default" w:asciiTheme="minorEastAsia" w:hAnsiTheme="minorEastAsia" w:eastAsiaTheme="minorEastAsia" w:cstheme="minorEastAsia"/>
          <w:sz w:val="24"/>
          <w:szCs w:val="24"/>
          <w:highlight w:val="none"/>
          <w:lang w:val="en-US" w:eastAsia="zh-CN"/>
        </w:rPr>
      </w:pPr>
      <w:r>
        <w:rPr>
          <w:rFonts w:hint="default" w:asciiTheme="minorEastAsia" w:hAnsiTheme="minorEastAsia" w:eastAsiaTheme="minorEastAsia" w:cstheme="minorEastAsia"/>
          <w:sz w:val="24"/>
          <w:szCs w:val="24"/>
          <w:highlight w:val="none"/>
          <w:lang w:val="en-US" w:eastAsia="zh-CN"/>
        </w:rPr>
        <w:t>202</w:t>
      </w:r>
      <w:r>
        <w:rPr>
          <w:rFonts w:hint="eastAsia" w:asciiTheme="minorEastAsia" w:hAnsiTheme="minorEastAsia" w:eastAsiaTheme="minorEastAsia" w:cstheme="minorEastAsia"/>
          <w:sz w:val="24"/>
          <w:szCs w:val="24"/>
          <w:highlight w:val="none"/>
          <w:lang w:val="en-US" w:eastAsia="zh-CN"/>
        </w:rPr>
        <w:t>3</w:t>
      </w:r>
      <w:r>
        <w:rPr>
          <w:rFonts w:hint="default" w:asciiTheme="minorEastAsia" w:hAnsiTheme="minorEastAsia" w:eastAsiaTheme="minorEastAsia" w:cstheme="minorEastAsia"/>
          <w:sz w:val="24"/>
          <w:szCs w:val="24"/>
          <w:highlight w:val="none"/>
          <w:lang w:val="en-US" w:eastAsia="zh-CN"/>
        </w:rPr>
        <w:t>-202</w:t>
      </w:r>
      <w:r>
        <w:rPr>
          <w:rFonts w:hint="eastAsia" w:asciiTheme="minorEastAsia" w:hAnsiTheme="minorEastAsia" w:eastAsiaTheme="minorEastAsia" w:cstheme="minorEastAsia"/>
          <w:sz w:val="24"/>
          <w:szCs w:val="24"/>
          <w:highlight w:val="none"/>
          <w:lang w:val="en-US" w:eastAsia="zh-CN"/>
        </w:rPr>
        <w:t>4</w:t>
      </w:r>
      <w:r>
        <w:rPr>
          <w:rFonts w:hint="default" w:asciiTheme="minorEastAsia" w:hAnsiTheme="minorEastAsia" w:eastAsiaTheme="minorEastAsia" w:cstheme="minorEastAsia"/>
          <w:sz w:val="24"/>
          <w:szCs w:val="24"/>
          <w:highlight w:val="none"/>
          <w:lang w:val="en-US" w:eastAsia="zh-CN"/>
        </w:rPr>
        <w:t>学年全日制普通本科在校生</w:t>
      </w:r>
      <w:r>
        <w:rPr>
          <w:rFonts w:hint="eastAsia" w:asciiTheme="minorEastAsia" w:hAnsiTheme="minorEastAsia" w:eastAsiaTheme="minorEastAsia" w:cstheme="minorEastAsia"/>
          <w:sz w:val="24"/>
          <w:szCs w:val="24"/>
          <w:highlight w:val="none"/>
          <w:lang w:val="en-US" w:eastAsia="zh-CN"/>
        </w:rPr>
        <w:t>8333</w:t>
      </w:r>
      <w:r>
        <w:rPr>
          <w:rFonts w:hint="default" w:asciiTheme="minorEastAsia" w:hAnsiTheme="minorEastAsia" w:eastAsiaTheme="minorEastAsia" w:cstheme="minorEastAsia"/>
          <w:sz w:val="24"/>
          <w:szCs w:val="24"/>
          <w:highlight w:val="none"/>
          <w:lang w:val="en-US" w:eastAsia="zh-CN"/>
        </w:rPr>
        <w:t>人</w:t>
      </w:r>
      <w:r>
        <w:rPr>
          <w:rFonts w:hint="eastAsia" w:asciiTheme="minorEastAsia" w:hAnsiTheme="minorEastAsia" w:eastAsiaTheme="minorEastAsia" w:cstheme="minorEastAsia"/>
          <w:sz w:val="24"/>
          <w:szCs w:val="24"/>
          <w:highlight w:val="none"/>
          <w:lang w:val="en-US" w:eastAsia="zh-CN"/>
        </w:rPr>
        <w:t>，成人函授本科生503人，折合在校生数8383.3。本科生占全日制在校生总数的比例为100%。</w:t>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1"/>
        <w:rPr>
          <w:rFonts w:hint="eastAsia" w:asciiTheme="minorEastAsia" w:hAnsiTheme="minorEastAsia" w:eastAsiaTheme="minorEastAsia" w:cstheme="minorEastAsia"/>
          <w:sz w:val="24"/>
          <w:szCs w:val="24"/>
        </w:rPr>
      </w:pPr>
      <w:bookmarkStart w:id="15" w:name="_Toc3901"/>
      <w:r>
        <w:rPr>
          <w:rFonts w:hint="eastAsia" w:ascii="Times New Roman" w:hAnsi="Times New Roman" w:eastAsia="黑体" w:cs="Times New Roman"/>
          <w:color w:val="auto"/>
          <w:sz w:val="28"/>
          <w:szCs w:val="28"/>
        </w:rPr>
        <w:t>（四）本科生源质量情况</w:t>
      </w:r>
      <w:bookmarkEnd w:id="15"/>
      <w:r>
        <w:rPr>
          <w:rFonts w:hint="eastAsia" w:ascii="Times New Roman" w:hAnsi="Times New Roman" w:eastAsia="黑体" w:cs="Times New Roman"/>
          <w:color w:val="auto"/>
          <w:sz w:val="28"/>
          <w:szCs w:val="28"/>
        </w:rPr>
        <w:tab/>
      </w:r>
    </w:p>
    <w:p>
      <w:pPr>
        <w:keepNext w:val="0"/>
        <w:keepLines w:val="0"/>
        <w:pageBreakBefore w:val="0"/>
        <w:widowControl w:val="0"/>
        <w:kinsoku/>
        <w:wordWrap/>
        <w:overflowPunct/>
        <w:topLinePunct w:val="0"/>
        <w:autoSpaceDE/>
        <w:autoSpaceDN/>
        <w:bidi w:val="0"/>
        <w:adjustRightInd w:val="0"/>
        <w:snapToGrid w:val="0"/>
        <w:spacing w:line="400" w:lineRule="exact"/>
        <w:ind w:firstLine="480" w:firstLineChars="200"/>
        <w:jc w:val="both"/>
        <w:textAlignment w:val="auto"/>
        <w:rPr>
          <w:rFonts w:hint="eastAsia" w:asciiTheme="minorEastAsia" w:hAnsiTheme="minorEastAsia" w:eastAsiaTheme="minorEastAsia" w:cstheme="minorEastAsia"/>
          <w:sz w:val="24"/>
          <w:szCs w:val="24"/>
          <w:highlight w:val="none"/>
          <w:lang w:val="en-US" w:eastAsia="zh-CN"/>
        </w:rPr>
      </w:pPr>
      <w:r>
        <w:rPr>
          <w:rFonts w:hint="default" w:asciiTheme="minorEastAsia" w:hAnsiTheme="minorEastAsia" w:eastAsiaTheme="minorEastAsia" w:cstheme="minorEastAsia"/>
          <w:sz w:val="24"/>
          <w:szCs w:val="24"/>
          <w:highlight w:val="none"/>
          <w:lang w:val="en-US" w:eastAsia="zh-CN"/>
        </w:rPr>
        <w:t>2023年学校面向全国20个</w:t>
      </w:r>
      <w:r>
        <w:rPr>
          <w:rFonts w:hint="eastAsia" w:asciiTheme="minorEastAsia" w:hAnsiTheme="minorEastAsia" w:eastAsiaTheme="minorEastAsia" w:cstheme="minorEastAsia"/>
          <w:sz w:val="24"/>
          <w:szCs w:val="24"/>
          <w:highlight w:val="none"/>
          <w:lang w:val="en-US" w:eastAsia="zh-CN"/>
        </w:rPr>
        <w:t>省（自治区、直辖市）</w:t>
      </w:r>
      <w:r>
        <w:rPr>
          <w:rFonts w:hint="default" w:asciiTheme="minorEastAsia" w:hAnsiTheme="minorEastAsia" w:eastAsiaTheme="minorEastAsia" w:cstheme="minorEastAsia"/>
          <w:sz w:val="24"/>
          <w:szCs w:val="24"/>
          <w:highlight w:val="none"/>
          <w:lang w:val="en-US" w:eastAsia="zh-CN"/>
        </w:rPr>
        <w:t>共招收新生2562人，其中浙江省内招生1660人（普通本科998人，专升本662人），在省外招生902人</w:t>
      </w:r>
      <w:r>
        <w:rPr>
          <w:rFonts w:hint="eastAsia" w:asciiTheme="minorEastAsia" w:hAnsiTheme="minorEastAsia" w:eastAsiaTheme="minorEastAsia" w:cstheme="minorEastAsia"/>
          <w:sz w:val="24"/>
          <w:szCs w:val="24"/>
          <w:highlight w:val="none"/>
          <w:lang w:val="en-US" w:eastAsia="zh-CN"/>
        </w:rPr>
        <w:t>。新生实际报到2522人，未报到40人，实际报到率为98.4%。</w:t>
      </w:r>
    </w:p>
    <w:p>
      <w:pPr>
        <w:keepNext w:val="0"/>
        <w:keepLines w:val="0"/>
        <w:pageBreakBefore w:val="0"/>
        <w:widowControl/>
        <w:kinsoku/>
        <w:wordWrap/>
        <w:overflowPunct/>
        <w:topLinePunct w:val="0"/>
        <w:autoSpaceDE/>
        <w:autoSpaceDN/>
        <w:bidi w:val="0"/>
        <w:adjustRightInd/>
        <w:snapToGrid/>
        <w:jc w:val="both"/>
        <w:textAlignment w:val="auto"/>
        <w:outlineLvl w:val="2"/>
        <w:rPr>
          <w:rFonts w:hint="eastAsia" w:ascii="黑体" w:hAnsi="黑体" w:eastAsia="黑体" w:cs="黑体"/>
          <w:color w:val="auto"/>
          <w:kern w:val="0"/>
          <w:sz w:val="24"/>
          <w:lang w:val="en-US" w:eastAsia="zh-CN" w:bidi="ar"/>
        </w:rPr>
      </w:pPr>
      <w:bookmarkStart w:id="16" w:name="_Toc4642"/>
      <w:r>
        <w:rPr>
          <w:rFonts w:hint="eastAsia" w:ascii="黑体" w:hAnsi="黑体" w:eastAsia="黑体" w:cs="黑体"/>
          <w:color w:val="auto"/>
          <w:kern w:val="0"/>
          <w:sz w:val="24"/>
          <w:lang w:val="en-US" w:eastAsia="zh-CN" w:bidi="ar"/>
        </w:rPr>
        <w:t>1.浙江省内生源质量情况</w:t>
      </w:r>
      <w:bookmarkEnd w:id="16"/>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heme="minorEastAsia" w:hAnsiTheme="minorEastAsia" w:eastAsiaTheme="minorEastAsia" w:cstheme="minorEastAsia"/>
          <w:sz w:val="24"/>
          <w:szCs w:val="24"/>
          <w:lang w:val="en-US"/>
        </w:rPr>
      </w:pPr>
      <w:r>
        <w:rPr>
          <w:rFonts w:hint="default" w:asciiTheme="minorEastAsia" w:hAnsiTheme="minorEastAsia" w:eastAsiaTheme="minorEastAsia" w:cstheme="minorEastAsia"/>
          <w:sz w:val="24"/>
          <w:szCs w:val="24"/>
          <w:highlight w:val="none"/>
          <w:lang w:val="en-US" w:eastAsia="zh-CN"/>
        </w:rPr>
        <w:t>学校在浙江省内招生1660人，普通类招生593人，艺术类招生190人，普通体育类招生47人，体育专业特招生8人，单独考试招生130人，三位一体招生30人，专升本招生662人。省内录取分数再创新高。普通本科投档最高分汉语言文学584分（超一段线96分），位次为69825；投档最低分旅游管理与服务教育554分（超一段线66分），位次为102378，较2022年提升4分，录取分数线连续三年稳定提升，位居省内同类高校前列。</w:t>
      </w:r>
      <w:r>
        <w:rPr>
          <w:rFonts w:hint="eastAsia" w:asciiTheme="minorEastAsia" w:hAnsiTheme="minorEastAsia" w:eastAsiaTheme="minorEastAsia" w:cstheme="minorEastAsia"/>
          <w:sz w:val="24"/>
          <w:szCs w:val="24"/>
          <w:highlight w:val="none"/>
          <w:lang w:val="en-US" w:eastAsia="zh-CN"/>
        </w:rPr>
        <w:t>近三年</w:t>
      </w:r>
      <w:r>
        <w:rPr>
          <w:rFonts w:hint="default" w:asciiTheme="minorEastAsia" w:hAnsiTheme="minorEastAsia" w:eastAsiaTheme="minorEastAsia" w:cstheme="minorEastAsia"/>
          <w:sz w:val="24"/>
          <w:szCs w:val="24"/>
          <w:highlight w:val="none"/>
          <w:lang w:val="en-US" w:eastAsia="zh-CN"/>
        </w:rPr>
        <w:t>浙江省普通类投档情况</w:t>
      </w:r>
      <w:r>
        <w:rPr>
          <w:rFonts w:hint="eastAsia" w:asciiTheme="minorEastAsia" w:hAnsiTheme="minorEastAsia" w:eastAsiaTheme="minorEastAsia" w:cstheme="minorEastAsia"/>
          <w:sz w:val="24"/>
          <w:szCs w:val="24"/>
          <w:highlight w:val="none"/>
          <w:lang w:val="en-US" w:eastAsia="zh-CN"/>
        </w:rPr>
        <w:t>见表2。</w:t>
      </w:r>
    </w:p>
    <w:p>
      <w:pPr>
        <w:keepNext w:val="0"/>
        <w:keepLines w:val="0"/>
        <w:pageBreakBefore w:val="0"/>
        <w:widowControl w:val="0"/>
        <w:kinsoku/>
        <w:wordWrap/>
        <w:overflowPunct/>
        <w:topLinePunct w:val="0"/>
        <w:autoSpaceDE/>
        <w:autoSpaceDN/>
        <w:bidi w:val="0"/>
        <w:adjustRightInd/>
        <w:snapToGrid/>
        <w:spacing w:line="400" w:lineRule="exact"/>
        <w:ind w:firstLine="422" w:firstLineChars="200"/>
        <w:jc w:val="both"/>
        <w:textAlignment w:val="auto"/>
        <w:rPr>
          <w:rFonts w:hint="eastAsia" w:ascii="Times New Roman" w:hAnsi="Times New Roman" w:eastAsia="宋体" w:cs="Times New Roman"/>
          <w:b/>
          <w:bCs/>
          <w:color w:val="auto"/>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heme="minorEastAsia" w:hAnsiTheme="minorEastAsia" w:eastAsiaTheme="minorEastAsia" w:cstheme="minorEastAsia"/>
          <w:b w:val="0"/>
          <w:bCs w:val="0"/>
          <w:sz w:val="24"/>
          <w:szCs w:val="24"/>
        </w:rPr>
      </w:pPr>
      <w:r>
        <w:rPr>
          <w:rFonts w:hint="eastAsia" w:ascii="Times New Roman" w:hAnsi="Times New Roman" w:eastAsia="宋体" w:cs="Times New Roman"/>
          <w:b w:val="0"/>
          <w:bCs w:val="0"/>
          <w:color w:val="auto"/>
          <w:sz w:val="21"/>
          <w:szCs w:val="21"/>
          <w:lang w:val="en-US" w:eastAsia="zh-CN"/>
        </w:rPr>
        <w:t xml:space="preserve">表2  </w:t>
      </w:r>
      <w:r>
        <w:rPr>
          <w:rFonts w:hint="default" w:ascii="Times New Roman" w:hAnsi="Times New Roman" w:eastAsia="宋体" w:cs="Times New Roman"/>
          <w:b w:val="0"/>
          <w:bCs w:val="0"/>
          <w:color w:val="auto"/>
          <w:sz w:val="21"/>
          <w:szCs w:val="21"/>
          <w:lang w:val="en-US" w:eastAsia="zh-CN"/>
        </w:rPr>
        <w:t>湖州学院</w:t>
      </w:r>
      <w:r>
        <w:rPr>
          <w:rFonts w:hint="default" w:ascii="Times New Roman" w:hAnsi="Times New Roman" w:eastAsia="仿宋_GB2312" w:cs="Times New Roman"/>
          <w:i w:val="0"/>
          <w:iCs w:val="0"/>
          <w:color w:val="000000"/>
          <w:kern w:val="0"/>
          <w:sz w:val="21"/>
          <w:szCs w:val="21"/>
          <w:u w:val="none"/>
          <w:lang w:val="en-US" w:eastAsia="zh-CN" w:bidi="ar"/>
        </w:rPr>
        <w:t>202</w:t>
      </w:r>
      <w:r>
        <w:rPr>
          <w:rFonts w:hint="eastAsia" w:ascii="Times New Roman" w:hAnsi="Times New Roman" w:eastAsia="仿宋_GB2312" w:cs="Times New Roman"/>
          <w:i w:val="0"/>
          <w:iCs w:val="0"/>
          <w:color w:val="000000"/>
          <w:kern w:val="0"/>
          <w:sz w:val="21"/>
          <w:szCs w:val="21"/>
          <w:u w:val="none"/>
          <w:lang w:val="en-US" w:eastAsia="zh-CN" w:bidi="ar"/>
        </w:rPr>
        <w:t>1</w:t>
      </w:r>
      <w:r>
        <w:rPr>
          <w:rFonts w:hint="eastAsia" w:ascii="Times New Roman" w:hAnsi="Times New Roman" w:eastAsia="宋体" w:cs="Times New Roman"/>
          <w:b w:val="0"/>
          <w:bCs w:val="0"/>
          <w:color w:val="auto"/>
          <w:sz w:val="21"/>
          <w:szCs w:val="21"/>
          <w:lang w:val="en-US" w:eastAsia="zh-CN"/>
        </w:rPr>
        <w:t>—</w:t>
      </w:r>
      <w:r>
        <w:rPr>
          <w:rFonts w:hint="default" w:ascii="Times New Roman" w:hAnsi="Times New Roman" w:eastAsia="宋体" w:cs="Times New Roman"/>
          <w:b w:val="0"/>
          <w:bCs w:val="0"/>
          <w:color w:val="auto"/>
          <w:sz w:val="21"/>
          <w:szCs w:val="21"/>
          <w:lang w:val="en-US" w:eastAsia="zh-CN"/>
        </w:rPr>
        <w:t>2</w:t>
      </w:r>
      <w:r>
        <w:rPr>
          <w:rFonts w:hint="default" w:ascii="Times New Roman" w:hAnsi="Times New Roman" w:eastAsia="仿宋_GB2312" w:cs="Times New Roman"/>
          <w:i w:val="0"/>
          <w:iCs w:val="0"/>
          <w:color w:val="000000"/>
          <w:kern w:val="0"/>
          <w:sz w:val="21"/>
          <w:szCs w:val="21"/>
          <w:u w:val="none"/>
          <w:lang w:val="en-US" w:eastAsia="zh-CN" w:bidi="ar"/>
        </w:rPr>
        <w:t>02</w:t>
      </w:r>
      <w:r>
        <w:rPr>
          <w:rFonts w:hint="eastAsia" w:ascii="Times New Roman" w:hAnsi="Times New Roman" w:eastAsia="仿宋_GB2312" w:cs="Times New Roman"/>
          <w:i w:val="0"/>
          <w:iCs w:val="0"/>
          <w:color w:val="000000"/>
          <w:kern w:val="0"/>
          <w:sz w:val="21"/>
          <w:szCs w:val="21"/>
          <w:u w:val="none"/>
          <w:lang w:val="en-US" w:eastAsia="zh-CN" w:bidi="ar"/>
        </w:rPr>
        <w:t>3</w:t>
      </w:r>
      <w:r>
        <w:rPr>
          <w:rFonts w:hint="default" w:ascii="Times New Roman" w:hAnsi="Times New Roman" w:eastAsia="宋体" w:cs="Times New Roman"/>
          <w:b w:val="0"/>
          <w:bCs w:val="0"/>
          <w:color w:val="auto"/>
          <w:sz w:val="21"/>
          <w:szCs w:val="21"/>
          <w:lang w:val="en-US" w:eastAsia="zh-CN"/>
        </w:rPr>
        <w:t>年浙江省普通类投档情况一览表</w:t>
      </w:r>
    </w:p>
    <w:tbl>
      <w:tblPr>
        <w:tblStyle w:val="12"/>
        <w:tblW w:w="8656" w:type="dxa"/>
        <w:jc w:val="center"/>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shd w:val="clear" w:color="auto" w:fill="auto"/>
        <w:tblLayout w:type="fixed"/>
        <w:tblCellMar>
          <w:top w:w="0" w:type="dxa"/>
          <w:left w:w="108" w:type="dxa"/>
          <w:bottom w:w="0" w:type="dxa"/>
          <w:right w:w="108" w:type="dxa"/>
        </w:tblCellMar>
      </w:tblPr>
      <w:tblGrid>
        <w:gridCol w:w="1732"/>
        <w:gridCol w:w="1630"/>
        <w:gridCol w:w="1630"/>
        <w:gridCol w:w="2034"/>
        <w:gridCol w:w="1630"/>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650" w:hRule="atLeast"/>
          <w:jc w:val="center"/>
        </w:trPr>
        <w:tc>
          <w:tcPr>
            <w:tcW w:w="1732"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楷体_GB2312" w:cs="Times New Roman"/>
                <w:i w:val="0"/>
                <w:iCs w:val="0"/>
                <w:color w:val="000000"/>
                <w:sz w:val="21"/>
                <w:szCs w:val="21"/>
                <w:u w:val="none"/>
              </w:rPr>
            </w:pPr>
            <w:bookmarkStart w:id="17" w:name="_Toc26297"/>
            <w:r>
              <w:rPr>
                <w:rFonts w:hint="default" w:ascii="Times New Roman" w:hAnsi="Times New Roman" w:cs="Times New Roman" w:eastAsiaTheme="minorEastAsia"/>
                <w:i w:val="0"/>
                <w:iCs w:val="0"/>
                <w:color w:val="auto"/>
                <w:kern w:val="0"/>
                <w:sz w:val="21"/>
                <w:szCs w:val="21"/>
                <w:u w:val="none"/>
                <w:lang w:val="en-US" w:eastAsia="zh-CN" w:bidi="ar"/>
              </w:rPr>
              <w:t>年份</w:t>
            </w:r>
          </w:p>
        </w:tc>
        <w:tc>
          <w:tcPr>
            <w:tcW w:w="163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eastAsia" w:ascii="Times New Roman" w:hAnsi="Times New Roman" w:cs="Times New Roman" w:eastAsiaTheme="minorEastAsia"/>
                <w:i w:val="0"/>
                <w:iCs w:val="0"/>
                <w:color w:val="auto"/>
                <w:kern w:val="0"/>
                <w:sz w:val="21"/>
                <w:szCs w:val="21"/>
                <w:u w:val="none"/>
                <w:lang w:val="en-US" w:eastAsia="zh-CN" w:bidi="ar"/>
              </w:rPr>
              <w:t>一段线</w:t>
            </w:r>
          </w:p>
        </w:tc>
        <w:tc>
          <w:tcPr>
            <w:tcW w:w="163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default" w:ascii="Times New Roman" w:hAnsi="Times New Roman" w:cs="Times New Roman" w:eastAsiaTheme="minorEastAsia"/>
                <w:i w:val="0"/>
                <w:iCs w:val="0"/>
                <w:color w:val="auto"/>
                <w:kern w:val="0"/>
                <w:sz w:val="21"/>
                <w:szCs w:val="21"/>
                <w:u w:val="none"/>
                <w:lang w:val="en-US" w:eastAsia="zh-CN" w:bidi="ar"/>
              </w:rPr>
              <w:t>投档分</w:t>
            </w:r>
          </w:p>
        </w:tc>
        <w:tc>
          <w:tcPr>
            <w:tcW w:w="2034"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default" w:ascii="Times New Roman" w:hAnsi="Times New Roman" w:cs="Times New Roman" w:eastAsiaTheme="minorEastAsia"/>
                <w:i w:val="0"/>
                <w:iCs w:val="0"/>
                <w:color w:val="auto"/>
                <w:kern w:val="0"/>
                <w:sz w:val="21"/>
                <w:szCs w:val="21"/>
                <w:u w:val="none"/>
                <w:lang w:val="en-US" w:eastAsia="zh-CN" w:bidi="ar"/>
              </w:rPr>
              <w:t>超</w:t>
            </w:r>
            <w:r>
              <w:rPr>
                <w:rFonts w:hint="eastAsia" w:ascii="Times New Roman" w:hAnsi="Times New Roman" w:cs="Times New Roman" w:eastAsiaTheme="minorEastAsia"/>
                <w:i w:val="0"/>
                <w:iCs w:val="0"/>
                <w:color w:val="auto"/>
                <w:kern w:val="0"/>
                <w:sz w:val="21"/>
                <w:szCs w:val="21"/>
                <w:u w:val="none"/>
                <w:lang w:val="en-US" w:eastAsia="zh-CN" w:bidi="ar"/>
              </w:rPr>
              <w:t>一段线</w:t>
            </w:r>
          </w:p>
        </w:tc>
        <w:tc>
          <w:tcPr>
            <w:tcW w:w="163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default" w:ascii="Times New Roman" w:hAnsi="Times New Roman" w:cs="Times New Roman" w:eastAsiaTheme="minorEastAsia"/>
                <w:i w:val="0"/>
                <w:iCs w:val="0"/>
                <w:color w:val="auto"/>
                <w:kern w:val="0"/>
                <w:sz w:val="21"/>
                <w:szCs w:val="21"/>
                <w:u w:val="none"/>
                <w:lang w:val="en-US" w:eastAsia="zh-CN" w:bidi="ar"/>
              </w:rPr>
              <w:t>位次</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507" w:hRule="atLeast"/>
          <w:jc w:val="center"/>
        </w:trPr>
        <w:tc>
          <w:tcPr>
            <w:tcW w:w="1732"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sz w:val="21"/>
                <w:szCs w:val="21"/>
                <w:u w:val="none"/>
              </w:rPr>
            </w:pPr>
            <w:r>
              <w:rPr>
                <w:rFonts w:hint="default" w:ascii="Times New Roman" w:hAnsi="Times New Roman" w:cs="Times New Roman" w:eastAsiaTheme="minorEastAsia"/>
                <w:b w:val="0"/>
                <w:bCs w:val="0"/>
                <w:color w:val="auto"/>
                <w:kern w:val="0"/>
                <w:sz w:val="21"/>
                <w:szCs w:val="21"/>
                <w:highlight w:val="none"/>
                <w:lang w:val="en-US" w:eastAsia="zh-CN" w:bidi="ar"/>
              </w:rPr>
              <w:t>2021</w:t>
            </w:r>
            <w:r>
              <w:rPr>
                <w:rFonts w:hint="default" w:ascii="Times New Roman" w:hAnsi="Times New Roman" w:cs="Times New Roman" w:eastAsiaTheme="minorEastAsia"/>
                <w:i w:val="0"/>
                <w:iCs w:val="0"/>
                <w:color w:val="auto"/>
                <w:kern w:val="0"/>
                <w:sz w:val="21"/>
                <w:szCs w:val="21"/>
                <w:u w:val="none"/>
                <w:lang w:val="en-US" w:eastAsia="zh-CN" w:bidi="ar"/>
              </w:rPr>
              <w:t>年</w:t>
            </w:r>
          </w:p>
        </w:tc>
        <w:tc>
          <w:tcPr>
            <w:tcW w:w="163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495</w:t>
            </w:r>
          </w:p>
        </w:tc>
        <w:tc>
          <w:tcPr>
            <w:tcW w:w="163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541</w:t>
            </w:r>
          </w:p>
        </w:tc>
        <w:tc>
          <w:tcPr>
            <w:tcW w:w="2034"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46</w:t>
            </w:r>
          </w:p>
        </w:tc>
        <w:tc>
          <w:tcPr>
            <w:tcW w:w="163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108689</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552" w:hRule="atLeast"/>
          <w:jc w:val="center"/>
        </w:trPr>
        <w:tc>
          <w:tcPr>
            <w:tcW w:w="1732"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eastAsia" w:ascii="Times New Roman" w:hAnsi="Times New Roman" w:cs="Times New Roman" w:eastAsiaTheme="minorEastAsia"/>
                <w:i w:val="0"/>
                <w:iCs w:val="0"/>
                <w:color w:val="auto"/>
                <w:kern w:val="0"/>
                <w:sz w:val="21"/>
                <w:szCs w:val="21"/>
                <w:u w:val="none"/>
                <w:lang w:val="en-US" w:eastAsia="zh-CN" w:bidi="ar"/>
              </w:rPr>
              <w:t>2022年</w:t>
            </w:r>
          </w:p>
        </w:tc>
        <w:tc>
          <w:tcPr>
            <w:tcW w:w="163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497</w:t>
            </w:r>
          </w:p>
        </w:tc>
        <w:tc>
          <w:tcPr>
            <w:tcW w:w="163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550</w:t>
            </w:r>
          </w:p>
        </w:tc>
        <w:tc>
          <w:tcPr>
            <w:tcW w:w="2034"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53</w:t>
            </w:r>
          </w:p>
        </w:tc>
        <w:tc>
          <w:tcPr>
            <w:tcW w:w="163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107027</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664" w:hRule="atLeast"/>
          <w:jc w:val="center"/>
        </w:trPr>
        <w:tc>
          <w:tcPr>
            <w:tcW w:w="1732"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eastAsia" w:ascii="Times New Roman" w:hAnsi="Times New Roman" w:cs="Times New Roman" w:eastAsiaTheme="minorEastAsia"/>
                <w:i w:val="0"/>
                <w:iCs w:val="0"/>
                <w:color w:val="auto"/>
                <w:kern w:val="0"/>
                <w:sz w:val="21"/>
                <w:szCs w:val="21"/>
                <w:u w:val="none"/>
                <w:lang w:val="en-US" w:eastAsia="zh-CN" w:bidi="ar"/>
              </w:rPr>
              <w:t>2023年</w:t>
            </w:r>
          </w:p>
        </w:tc>
        <w:tc>
          <w:tcPr>
            <w:tcW w:w="163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488</w:t>
            </w:r>
          </w:p>
        </w:tc>
        <w:tc>
          <w:tcPr>
            <w:tcW w:w="163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554</w:t>
            </w:r>
          </w:p>
        </w:tc>
        <w:tc>
          <w:tcPr>
            <w:tcW w:w="2034"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66</w:t>
            </w:r>
          </w:p>
        </w:tc>
        <w:tc>
          <w:tcPr>
            <w:tcW w:w="163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102378</w:t>
            </w:r>
          </w:p>
        </w:tc>
      </w:tr>
    </w:tbl>
    <w:p>
      <w:pPr>
        <w:widowControl/>
        <w:jc w:val="both"/>
        <w:outlineLvl w:val="2"/>
        <w:rPr>
          <w:rFonts w:hint="eastAsia" w:ascii="Times New Roman" w:hAnsi="Times New Roman" w:eastAsia="黑体" w:cs="Times New Roman"/>
          <w:color w:val="auto"/>
          <w:kern w:val="0"/>
          <w:sz w:val="24"/>
          <w:lang w:val="en-US" w:eastAsia="zh-CN" w:bidi="ar"/>
        </w:rPr>
      </w:pPr>
    </w:p>
    <w:p>
      <w:pPr>
        <w:widowControl/>
        <w:jc w:val="both"/>
        <w:outlineLvl w:val="2"/>
        <w:rPr>
          <w:rFonts w:hint="eastAsia" w:ascii="Times New Roman" w:hAnsi="Times New Roman" w:eastAsia="黑体" w:cs="Times New Roman"/>
          <w:color w:val="auto"/>
          <w:kern w:val="0"/>
          <w:sz w:val="24"/>
          <w:lang w:val="en-US" w:eastAsia="zh-CN" w:bidi="ar"/>
        </w:rPr>
      </w:pPr>
      <w:r>
        <w:rPr>
          <w:rFonts w:hint="eastAsia" w:ascii="Times New Roman" w:hAnsi="Times New Roman" w:eastAsia="黑体" w:cs="Times New Roman"/>
          <w:color w:val="auto"/>
          <w:kern w:val="0"/>
          <w:sz w:val="24"/>
          <w:lang w:val="en-US" w:eastAsia="zh-CN" w:bidi="ar"/>
        </w:rPr>
        <w:t>2.省外生源质量情况</w:t>
      </w:r>
      <w:bookmarkEnd w:id="17"/>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heme="minorEastAsia" w:hAnsiTheme="minorEastAsia" w:eastAsiaTheme="minorEastAsia" w:cstheme="minorEastAsia"/>
          <w:sz w:val="24"/>
          <w:szCs w:val="24"/>
          <w:highlight w:val="none"/>
          <w:lang w:val="en-US" w:eastAsia="zh-CN"/>
        </w:rPr>
      </w:pPr>
      <w:r>
        <w:rPr>
          <w:rFonts w:hint="default" w:asciiTheme="minorEastAsia" w:hAnsiTheme="minorEastAsia" w:eastAsiaTheme="minorEastAsia" w:cstheme="minorEastAsia"/>
          <w:sz w:val="24"/>
          <w:szCs w:val="24"/>
          <w:highlight w:val="none"/>
          <w:lang w:val="en-US" w:eastAsia="zh-CN"/>
        </w:rPr>
        <w:t>省</w:t>
      </w:r>
      <w:r>
        <w:rPr>
          <w:rFonts w:hint="eastAsia" w:asciiTheme="minorEastAsia" w:hAnsiTheme="minorEastAsia" w:eastAsiaTheme="minorEastAsia" w:cstheme="minorEastAsia"/>
          <w:sz w:val="24"/>
          <w:szCs w:val="24"/>
          <w:highlight w:val="none"/>
          <w:lang w:val="en-US" w:eastAsia="zh-CN"/>
        </w:rPr>
        <w:t>外</w:t>
      </w:r>
      <w:r>
        <w:rPr>
          <w:rFonts w:hint="default" w:asciiTheme="minorEastAsia" w:hAnsiTheme="minorEastAsia" w:eastAsiaTheme="minorEastAsia" w:cstheme="minorEastAsia"/>
          <w:sz w:val="24"/>
          <w:szCs w:val="24"/>
          <w:highlight w:val="none"/>
          <w:lang w:val="en-US" w:eastAsia="zh-CN"/>
        </w:rPr>
        <w:t>录取情况持续向好</w:t>
      </w:r>
      <w:r>
        <w:rPr>
          <w:rFonts w:hint="eastAsia" w:asciiTheme="minorEastAsia" w:hAnsiTheme="minorEastAsia" w:eastAsiaTheme="minorEastAsia" w:cstheme="minorEastAsia"/>
          <w:sz w:val="24"/>
          <w:szCs w:val="24"/>
          <w:highlight w:val="none"/>
          <w:lang w:val="en-US" w:eastAsia="zh-CN"/>
        </w:rPr>
        <w:t>。所有</w:t>
      </w:r>
      <w:r>
        <w:rPr>
          <w:rFonts w:hint="default" w:asciiTheme="minorEastAsia" w:hAnsiTheme="minorEastAsia" w:eastAsiaTheme="minorEastAsia" w:cstheme="minorEastAsia"/>
          <w:sz w:val="24"/>
          <w:szCs w:val="24"/>
          <w:highlight w:val="none"/>
          <w:lang w:val="en-US" w:eastAsia="zh-CN"/>
        </w:rPr>
        <w:t>省份投档线</w:t>
      </w:r>
      <w:r>
        <w:rPr>
          <w:rFonts w:hint="eastAsia" w:asciiTheme="minorEastAsia" w:hAnsiTheme="minorEastAsia" w:eastAsiaTheme="minorEastAsia" w:cstheme="minorEastAsia"/>
          <w:sz w:val="24"/>
          <w:szCs w:val="24"/>
          <w:highlight w:val="none"/>
          <w:lang w:val="en-US" w:eastAsia="zh-CN"/>
        </w:rPr>
        <w:t>均</w:t>
      </w:r>
      <w:r>
        <w:rPr>
          <w:rFonts w:hint="default" w:asciiTheme="minorEastAsia" w:hAnsiTheme="minorEastAsia" w:eastAsiaTheme="minorEastAsia" w:cstheme="minorEastAsia"/>
          <w:sz w:val="24"/>
          <w:szCs w:val="24"/>
          <w:highlight w:val="none"/>
          <w:lang w:val="en-US" w:eastAsia="zh-CN"/>
        </w:rPr>
        <w:t>超当地省控线30分以上，其中山东、重庆、山西等18个</w:t>
      </w:r>
      <w:r>
        <w:rPr>
          <w:rFonts w:hint="eastAsia" w:asciiTheme="minorEastAsia" w:hAnsiTheme="minorEastAsia" w:eastAsiaTheme="minorEastAsia" w:cstheme="minorEastAsia"/>
          <w:sz w:val="24"/>
          <w:szCs w:val="24"/>
          <w:highlight w:val="none"/>
          <w:lang w:val="en-US" w:eastAsia="zh-CN"/>
        </w:rPr>
        <w:t>省（自治区、直辖市）</w:t>
      </w:r>
      <w:r>
        <w:rPr>
          <w:rFonts w:hint="default" w:asciiTheme="minorEastAsia" w:hAnsiTheme="minorEastAsia" w:eastAsiaTheme="minorEastAsia" w:cstheme="minorEastAsia"/>
          <w:sz w:val="24"/>
          <w:szCs w:val="24"/>
          <w:highlight w:val="none"/>
          <w:lang w:val="en-US" w:eastAsia="zh-CN"/>
        </w:rPr>
        <w:t>投档分超当地省控线50分以上；江苏、湖南、云南等11个</w:t>
      </w:r>
      <w:r>
        <w:rPr>
          <w:rFonts w:hint="eastAsia" w:asciiTheme="minorEastAsia" w:hAnsiTheme="minorEastAsia" w:eastAsiaTheme="minorEastAsia" w:cstheme="minorEastAsia"/>
          <w:sz w:val="24"/>
          <w:szCs w:val="24"/>
          <w:highlight w:val="none"/>
          <w:lang w:val="en-US" w:eastAsia="zh-CN"/>
        </w:rPr>
        <w:t>省（自治区、直辖市）</w:t>
      </w:r>
      <w:r>
        <w:rPr>
          <w:rFonts w:hint="default" w:asciiTheme="minorEastAsia" w:hAnsiTheme="minorEastAsia" w:eastAsiaTheme="minorEastAsia" w:cstheme="minorEastAsia"/>
          <w:sz w:val="24"/>
          <w:szCs w:val="24"/>
          <w:highlight w:val="none"/>
          <w:lang w:val="en-US" w:eastAsia="zh-CN"/>
        </w:rPr>
        <w:t>投档分</w:t>
      </w:r>
      <w:r>
        <w:rPr>
          <w:rFonts w:hint="eastAsia" w:asciiTheme="minorEastAsia" w:hAnsiTheme="minorEastAsia" w:eastAsiaTheme="minorEastAsia" w:cstheme="minorEastAsia"/>
          <w:sz w:val="24"/>
          <w:szCs w:val="24"/>
          <w:highlight w:val="none"/>
          <w:lang w:val="en-US" w:eastAsia="zh-CN"/>
        </w:rPr>
        <w:t>超过当地省控线60分</w:t>
      </w:r>
      <w:r>
        <w:rPr>
          <w:rFonts w:hint="default" w:asciiTheme="minorEastAsia" w:hAnsiTheme="minorEastAsia" w:eastAsiaTheme="minorEastAsia" w:cstheme="minorEastAsia"/>
          <w:sz w:val="24"/>
          <w:szCs w:val="24"/>
          <w:highlight w:val="none"/>
          <w:lang w:val="en-US" w:eastAsia="zh-CN"/>
        </w:rPr>
        <w:t>；湖北、内蒙古、河南、黑龙江、广西投档分</w:t>
      </w:r>
      <w:r>
        <w:rPr>
          <w:rFonts w:hint="eastAsia" w:asciiTheme="minorEastAsia" w:hAnsiTheme="minorEastAsia" w:eastAsiaTheme="minorEastAsia" w:cstheme="minorEastAsia"/>
          <w:sz w:val="24"/>
          <w:szCs w:val="24"/>
          <w:highlight w:val="none"/>
          <w:lang w:val="en-US" w:eastAsia="zh-CN"/>
        </w:rPr>
        <w:t>超过当地省控线80分</w:t>
      </w:r>
      <w:r>
        <w:rPr>
          <w:rFonts w:hint="default" w:asciiTheme="minorEastAsia" w:hAnsiTheme="minorEastAsia" w:eastAsiaTheme="minorEastAsia" w:cstheme="minorEastAsia"/>
          <w:sz w:val="24"/>
          <w:szCs w:val="24"/>
          <w:highlight w:val="none"/>
          <w:lang w:val="en-US" w:eastAsia="zh-CN"/>
        </w:rPr>
        <w:t>，其中黑龙江理工类超省控线114分，河南及广西理工类均超省控线99分</w:t>
      </w:r>
      <w:r>
        <w:rPr>
          <w:rFonts w:hint="eastAsia" w:asciiTheme="minorEastAsia" w:hAnsiTheme="minorEastAsia" w:eastAsiaTheme="minorEastAsia" w:cstheme="minorEastAsia"/>
          <w:sz w:val="24"/>
          <w:szCs w:val="24"/>
          <w:highlight w:val="none"/>
          <w:lang w:val="en-US" w:eastAsia="zh-CN"/>
        </w:rPr>
        <w:t>，生源质量得到进一步提升</w:t>
      </w:r>
      <w:r>
        <w:rPr>
          <w:rFonts w:hint="default" w:asciiTheme="minorEastAsia" w:hAnsiTheme="minorEastAsia" w:eastAsiaTheme="minorEastAsia" w:cstheme="minorEastAsia"/>
          <w:sz w:val="24"/>
          <w:szCs w:val="24"/>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outlineLvl w:val="0"/>
        <w:rPr>
          <w:rFonts w:hint="eastAsia" w:ascii="Times New Roman" w:hAnsi="Times New Roman" w:eastAsia="宋体" w:cs="Times New Roman"/>
          <w:b w:val="0"/>
          <w:bCs w:val="0"/>
          <w:sz w:val="24"/>
          <w:szCs w:val="24"/>
          <w:highlight w:val="none"/>
          <w:lang w:val="en-US" w:eastAsia="zh-CN"/>
        </w:rPr>
      </w:pPr>
      <w:bookmarkStart w:id="18" w:name="_Toc2440"/>
      <w:r>
        <w:rPr>
          <w:rFonts w:hint="eastAsia" w:ascii="Times New Roman" w:hAnsi="Times New Roman" w:eastAsia="黑体" w:cs="Times New Roman"/>
          <w:color w:val="auto"/>
          <w:sz w:val="30"/>
          <w:szCs w:val="30"/>
          <w:lang w:val="en-US" w:eastAsia="zh-CN"/>
        </w:rPr>
        <w:t>二、师资与教学条件</w:t>
      </w:r>
      <w:bookmarkEnd w:id="18"/>
      <w:r>
        <w:rPr>
          <w:rFonts w:hint="eastAsia" w:ascii="Times New Roman" w:hAnsi="Times New Roman" w:eastAsia="宋体" w:cs="Times New Roman"/>
          <w:b w:val="0"/>
          <w:bCs w:val="0"/>
          <w:sz w:val="24"/>
          <w:szCs w:val="24"/>
          <w:highlight w:val="none"/>
          <w:lang w:val="en-US" w:eastAsia="zh-CN"/>
        </w:rPr>
        <w:tab/>
      </w:r>
    </w:p>
    <w:p>
      <w:pPr>
        <w:jc w:val="both"/>
        <w:outlineLvl w:val="1"/>
        <w:rPr>
          <w:rFonts w:hint="eastAsia" w:ascii="Times New Roman" w:hAnsi="Times New Roman" w:eastAsia="黑体" w:cs="Times New Roman"/>
          <w:color w:val="auto"/>
          <w:sz w:val="28"/>
          <w:szCs w:val="28"/>
          <w:highlight w:val="none"/>
          <w:lang w:val="en-US" w:eastAsia="zh-CN"/>
        </w:rPr>
      </w:pPr>
      <w:bookmarkStart w:id="19" w:name="_Toc26960"/>
      <w:r>
        <w:rPr>
          <w:rFonts w:hint="eastAsia" w:ascii="Times New Roman" w:hAnsi="Times New Roman" w:eastAsia="黑体" w:cs="Times New Roman"/>
          <w:color w:val="auto"/>
          <w:sz w:val="28"/>
          <w:szCs w:val="28"/>
          <w:highlight w:val="none"/>
          <w:lang w:val="en-US" w:eastAsia="zh-CN"/>
        </w:rPr>
        <w:t>（一）师资队伍数量及结构情况</w:t>
      </w:r>
      <w:bookmarkEnd w:id="19"/>
    </w:p>
    <w:p>
      <w:pPr>
        <w:widowControl/>
        <w:jc w:val="both"/>
        <w:outlineLvl w:val="2"/>
        <w:rPr>
          <w:rFonts w:hint="default" w:ascii="Times New Roman" w:hAnsi="Times New Roman" w:eastAsia="黑体" w:cs="Times New Roman"/>
          <w:color w:val="auto"/>
          <w:kern w:val="0"/>
          <w:sz w:val="24"/>
          <w:lang w:val="en-US" w:eastAsia="zh-CN" w:bidi="ar"/>
        </w:rPr>
      </w:pPr>
      <w:r>
        <w:rPr>
          <w:rFonts w:hint="eastAsia" w:ascii="Times New Roman" w:hAnsi="Times New Roman" w:eastAsia="黑体" w:cs="Times New Roman"/>
          <w:color w:val="auto"/>
          <w:kern w:val="0"/>
          <w:sz w:val="24"/>
          <w:lang w:val="en-US" w:eastAsia="zh-CN" w:bidi="ar"/>
        </w:rPr>
        <w:t>1.</w:t>
      </w:r>
      <w:r>
        <w:rPr>
          <w:rFonts w:hint="default" w:ascii="Times New Roman" w:hAnsi="Times New Roman" w:eastAsia="黑体" w:cs="Times New Roman"/>
          <w:color w:val="auto"/>
          <w:kern w:val="0"/>
          <w:sz w:val="24"/>
          <w:lang w:val="en-US" w:eastAsia="zh-CN" w:bidi="ar"/>
        </w:rPr>
        <w:t>师资队伍情况</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b w:val="0"/>
          <w:bCs w:val="0"/>
          <w:color w:val="auto"/>
          <w:sz w:val="24"/>
          <w:szCs w:val="24"/>
          <w:highlight w:val="none"/>
          <w:lang w:val="en-US" w:eastAsia="zh-CN"/>
        </w:rPr>
      </w:pPr>
      <w:r>
        <w:rPr>
          <w:rFonts w:hint="eastAsia" w:asciiTheme="minorEastAsia" w:hAnsiTheme="minorEastAsia" w:eastAsiaTheme="minorEastAsia" w:cstheme="minorEastAsia"/>
          <w:sz w:val="24"/>
          <w:szCs w:val="24"/>
          <w:highlight w:val="none"/>
          <w:lang w:val="en-US" w:eastAsia="zh-CN"/>
        </w:rPr>
        <w:t>湖州学院自转设以来，坚持高</w:t>
      </w:r>
      <w:bookmarkStart w:id="20" w:name="OLE_LINK4"/>
      <w:r>
        <w:rPr>
          <w:rFonts w:hint="eastAsia" w:asciiTheme="minorEastAsia" w:hAnsiTheme="minorEastAsia" w:eastAsiaTheme="minorEastAsia" w:cstheme="minorEastAsia"/>
          <w:sz w:val="24"/>
          <w:szCs w:val="24"/>
          <w:highlight w:val="none"/>
          <w:lang w:val="en-US" w:eastAsia="zh-CN"/>
        </w:rPr>
        <w:t>水平</w:t>
      </w:r>
      <w:bookmarkEnd w:id="20"/>
      <w:r>
        <w:rPr>
          <w:rFonts w:hint="eastAsia" w:asciiTheme="minorEastAsia" w:hAnsiTheme="minorEastAsia" w:eastAsiaTheme="minorEastAsia" w:cstheme="minorEastAsia"/>
          <w:sz w:val="24"/>
          <w:szCs w:val="24"/>
          <w:highlight w:val="none"/>
          <w:lang w:val="en-US" w:eastAsia="zh-CN"/>
        </w:rPr>
        <w:t>应用型大学目标定位，不断加大人才引进力度，2023-</w:t>
      </w:r>
      <w:bookmarkStart w:id="21" w:name="OLE_LINK5"/>
      <w:r>
        <w:rPr>
          <w:rFonts w:hint="eastAsia" w:asciiTheme="minorEastAsia" w:hAnsiTheme="minorEastAsia" w:eastAsiaTheme="minorEastAsia" w:cstheme="minorEastAsia"/>
          <w:sz w:val="24"/>
          <w:szCs w:val="24"/>
          <w:highlight w:val="none"/>
          <w:lang w:val="en-US" w:eastAsia="zh-CN"/>
        </w:rPr>
        <w:t>2024学年</w:t>
      </w:r>
      <w:bookmarkEnd w:id="21"/>
      <w:r>
        <w:rPr>
          <w:rFonts w:hint="eastAsia" w:asciiTheme="minorEastAsia" w:hAnsiTheme="minorEastAsia" w:eastAsiaTheme="minorEastAsia" w:cstheme="minorEastAsia"/>
          <w:sz w:val="24"/>
          <w:szCs w:val="24"/>
          <w:highlight w:val="none"/>
          <w:lang w:val="en-US" w:eastAsia="zh-CN"/>
        </w:rPr>
        <w:t>学校共有教职工626人，其中专任教师450人，外聘教师52人，折合教师总</w:t>
      </w:r>
      <w:bookmarkStart w:id="22" w:name="OLE_LINK9"/>
      <w:r>
        <w:rPr>
          <w:rFonts w:hint="eastAsia" w:asciiTheme="minorEastAsia" w:hAnsiTheme="minorEastAsia" w:eastAsiaTheme="minorEastAsia" w:cstheme="minorEastAsia"/>
          <w:sz w:val="24"/>
          <w:szCs w:val="24"/>
          <w:highlight w:val="none"/>
          <w:lang w:val="en-US" w:eastAsia="zh-CN"/>
        </w:rPr>
        <w:t>数为</w:t>
      </w:r>
      <w:bookmarkEnd w:id="22"/>
      <w:r>
        <w:rPr>
          <w:rFonts w:hint="eastAsia" w:asciiTheme="minorEastAsia" w:hAnsiTheme="minorEastAsia" w:eastAsiaTheme="minorEastAsia" w:cstheme="minorEastAsia"/>
          <w:sz w:val="24"/>
          <w:szCs w:val="24"/>
          <w:highlight w:val="none"/>
          <w:lang w:val="en-US" w:eastAsia="zh-CN"/>
        </w:rPr>
        <w:t>476人</w:t>
      </w:r>
      <w:bookmarkStart w:id="23" w:name="OLE_LINK2"/>
      <w:r>
        <w:rPr>
          <w:rFonts w:hint="eastAsia" w:asciiTheme="minorEastAsia" w:hAnsiTheme="minorEastAsia" w:eastAsiaTheme="minorEastAsia" w:cstheme="minorEastAsia"/>
          <w:sz w:val="24"/>
          <w:szCs w:val="24"/>
          <w:highlight w:val="none"/>
          <w:lang w:val="en-US" w:eastAsia="zh-CN"/>
        </w:rPr>
        <w:t>。按照</w:t>
      </w:r>
      <w:bookmarkEnd w:id="23"/>
      <w:r>
        <w:rPr>
          <w:rFonts w:hint="eastAsia" w:asciiTheme="minorEastAsia" w:hAnsiTheme="minorEastAsia" w:eastAsiaTheme="minorEastAsia" w:cstheme="minorEastAsia"/>
          <w:sz w:val="24"/>
          <w:szCs w:val="24"/>
          <w:highlight w:val="none"/>
          <w:lang w:val="en-US" w:eastAsia="zh-CN"/>
        </w:rPr>
        <w:t>折合在校生数8383.3计算，生师比为17.61∶1。</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outlineLvl w:val="2"/>
        <w:rPr>
          <w:rFonts w:hint="default" w:ascii="Times New Roman" w:hAnsi="Times New Roman" w:cs="Times New Roman" w:eastAsiaTheme="minorEastAsia"/>
          <w:sz w:val="24"/>
          <w:szCs w:val="24"/>
          <w:lang w:val="en-US" w:eastAsia="zh-CN"/>
        </w:rPr>
      </w:pPr>
      <w:r>
        <w:rPr>
          <w:rFonts w:hint="eastAsia" w:ascii="Times New Roman" w:hAnsi="Times New Roman" w:eastAsia="黑体" w:cs="Times New Roman"/>
          <w:color w:val="auto"/>
          <w:kern w:val="0"/>
          <w:sz w:val="24"/>
          <w:lang w:val="en-US" w:eastAsia="zh-CN" w:bidi="ar"/>
        </w:rPr>
        <w:t>2.</w:t>
      </w:r>
      <w:r>
        <w:rPr>
          <w:rFonts w:hint="default" w:ascii="Times New Roman" w:hAnsi="Times New Roman" w:eastAsia="黑体" w:cs="Times New Roman"/>
          <w:color w:val="auto"/>
          <w:kern w:val="0"/>
          <w:sz w:val="24"/>
          <w:lang w:val="en-US" w:eastAsia="zh-CN" w:bidi="ar"/>
        </w:rPr>
        <w:t>专任教师队伍分布结构</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heme="minorEastAsia" w:hAnsiTheme="minorEastAsia" w:eastAsiaTheme="minorEastAsia" w:cstheme="minorEastAsia"/>
          <w:sz w:val="24"/>
          <w:szCs w:val="24"/>
          <w:highlight w:val="none"/>
          <w:lang w:val="en-US" w:eastAsia="zh-CN"/>
        </w:rPr>
      </w:pPr>
      <w:r>
        <w:rPr>
          <w:rFonts w:hint="eastAsia" w:asciiTheme="minorEastAsia" w:hAnsiTheme="minorEastAsia" w:eastAsiaTheme="minorEastAsia" w:cstheme="minorEastAsia"/>
          <w:sz w:val="24"/>
          <w:szCs w:val="24"/>
          <w:highlight w:val="none"/>
          <w:lang w:val="en-US" w:eastAsia="zh-CN"/>
        </w:rPr>
        <w:t>在专任教师团队中，444人</w:t>
      </w:r>
      <w:r>
        <w:rPr>
          <w:rFonts w:hint="default" w:asciiTheme="minorEastAsia" w:hAnsiTheme="minorEastAsia" w:eastAsiaTheme="minorEastAsia" w:cstheme="minorEastAsia"/>
          <w:sz w:val="24"/>
          <w:szCs w:val="24"/>
          <w:highlight w:val="none"/>
          <w:lang w:eastAsia="zh-CN"/>
        </w:rPr>
        <w:t>拥</w:t>
      </w:r>
      <w:r>
        <w:rPr>
          <w:rFonts w:hint="eastAsia" w:asciiTheme="minorEastAsia" w:hAnsiTheme="minorEastAsia" w:eastAsiaTheme="minorEastAsia" w:cstheme="minorEastAsia"/>
          <w:sz w:val="24"/>
          <w:szCs w:val="24"/>
          <w:highlight w:val="none"/>
          <w:lang w:val="en-US" w:eastAsia="zh-CN"/>
        </w:rPr>
        <w:t>有硕士及以上学位，占专任教师总数的98.67%。其中，拥有博士学位者为194人，占专任教师总数的43.11%。另外，具有副高级及以上职称的教师共有135人，占专任教师总数的30%。与上一学年相比，高级专业技术职务的专任教师数量呈现出稳定的增长趋势。上一学年，新增博士学位教师41人，45岁以下的教师占专任教师总数的77.78%，这表明教师队伍正趋向年轻化</w:t>
      </w:r>
      <w:r>
        <w:rPr>
          <w:rFonts w:hint="default" w:asciiTheme="minorEastAsia" w:hAnsiTheme="minorEastAsia" w:eastAsiaTheme="minorEastAsia" w:cstheme="minorEastAsia"/>
          <w:sz w:val="24"/>
          <w:szCs w:val="24"/>
          <w:highlight w:val="none"/>
          <w:lang w:eastAsia="zh-CN"/>
        </w:rPr>
        <w:t>，学校未来发展充满活力和潜力。</w:t>
      </w:r>
      <w:r>
        <w:rPr>
          <w:rFonts w:hint="eastAsia" w:asciiTheme="minorEastAsia" w:hAnsiTheme="minorEastAsia" w:eastAsiaTheme="minorEastAsia" w:cstheme="minorEastAsia"/>
          <w:sz w:val="24"/>
          <w:szCs w:val="24"/>
          <w:highlight w:val="none"/>
          <w:lang w:val="en-US" w:eastAsia="zh-CN"/>
        </w:rPr>
        <w:t>学校师资队伍的整体素质得到了进一步的提升。学校专任教师专业技术职务、学历学位、年龄结构分布情况及近三年师资队伍变化情况见图1-</w:t>
      </w:r>
      <w:r>
        <w:rPr>
          <w:rFonts w:hint="default" w:asciiTheme="minorEastAsia" w:hAnsiTheme="minorEastAsia" w:eastAsiaTheme="minorEastAsia" w:cstheme="minorEastAsia"/>
          <w:sz w:val="24"/>
          <w:szCs w:val="24"/>
          <w:highlight w:val="none"/>
          <w:lang w:eastAsia="zh-CN"/>
        </w:rPr>
        <w:t>图</w:t>
      </w:r>
      <w:r>
        <w:rPr>
          <w:rFonts w:hint="eastAsia" w:asciiTheme="minorEastAsia" w:hAnsiTheme="minorEastAsia" w:eastAsiaTheme="minorEastAsia" w:cstheme="minorEastAsia"/>
          <w:sz w:val="24"/>
          <w:szCs w:val="24"/>
          <w:highlight w:val="none"/>
          <w:lang w:val="en-US" w:eastAsia="zh-CN"/>
        </w:rPr>
        <w:t>4。</w:t>
      </w:r>
    </w:p>
    <w:p>
      <w:pPr>
        <w:bidi w:val="0"/>
        <w:jc w:val="center"/>
        <w:rPr>
          <w:rFonts w:hint="eastAsia" w:asciiTheme="minorEastAsia" w:hAnsiTheme="minorEastAsia" w:eastAsiaTheme="minorEastAsia" w:cstheme="minorEastAsia"/>
        </w:rPr>
      </w:pPr>
      <w:r>
        <w:rPr>
          <w:rFonts w:hint="eastAsia" w:asciiTheme="minorEastAsia" w:hAnsiTheme="minorEastAsia" w:eastAsiaTheme="minorEastAsia" w:cstheme="minorEastAsia"/>
        </w:rPr>
        <w:drawing>
          <wp:inline distT="0" distB="0" distL="114300" distR="114300">
            <wp:extent cx="4536440" cy="2350770"/>
            <wp:effectExtent l="0" t="0" r="5080" b="41910"/>
            <wp:docPr id="10" name="图表 2" descr="7b0a202020202263686172745265734964223a20223230343735383331220a7d0a"/>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color w:val="auto"/>
          <w:sz w:val="21"/>
          <w:szCs w:val="21"/>
          <w:lang w:val="en-US" w:eastAsia="zh-CN"/>
        </w:rPr>
      </w:pPr>
      <w:r>
        <w:rPr>
          <w:rFonts w:hint="eastAsia" w:ascii="Times New Roman" w:hAnsi="Times New Roman" w:eastAsia="宋体" w:cs="Times New Roman"/>
          <w:b/>
          <w:bCs/>
          <w:color w:val="auto"/>
          <w:sz w:val="21"/>
          <w:szCs w:val="21"/>
          <w:lang w:val="en-US" w:eastAsia="zh-CN"/>
        </w:rPr>
        <w:t>图1</w:t>
      </w:r>
      <w:r>
        <w:rPr>
          <w:rFonts w:hint="eastAsia" w:ascii="Times New Roman" w:hAnsi="Times New Roman" w:cs="Times New Roman"/>
          <w:b/>
          <w:bCs/>
          <w:color w:val="auto"/>
          <w:sz w:val="21"/>
          <w:szCs w:val="21"/>
          <w:lang w:val="en-US" w:eastAsia="zh-CN"/>
        </w:rPr>
        <w:t xml:space="preserve"> </w:t>
      </w:r>
      <w:r>
        <w:rPr>
          <w:rFonts w:hint="eastAsia" w:ascii="Times New Roman" w:hAnsi="Times New Roman" w:eastAsia="宋体" w:cs="Times New Roman"/>
          <w:b/>
          <w:bCs/>
          <w:color w:val="auto"/>
          <w:sz w:val="21"/>
          <w:szCs w:val="21"/>
          <w:lang w:val="en-US" w:eastAsia="zh-CN"/>
        </w:rPr>
        <w:t xml:space="preserve"> 湖州学院专任教师专业技术职务分布情况</w:t>
      </w:r>
    </w:p>
    <w:p>
      <w:pPr>
        <w:pStyle w:val="3"/>
        <w:numPr>
          <w:ilvl w:val="1"/>
          <w:numId w:val="0"/>
        </w:numPr>
        <w:ind w:leftChars="0"/>
        <w:rPr>
          <w:rFonts w:hint="eastAsia"/>
          <w:lang w:val="en-US" w:eastAsia="zh-CN"/>
        </w:rPr>
      </w:pPr>
    </w:p>
    <w:p>
      <w:pPr>
        <w:bidi w:val="0"/>
        <w:jc w:val="center"/>
        <w:rPr>
          <w:rFonts w:hint="eastAsia" w:asciiTheme="minorEastAsia" w:hAnsiTheme="minorEastAsia" w:eastAsiaTheme="minorEastAsia" w:cstheme="minorEastAsia"/>
        </w:rPr>
      </w:pPr>
      <w:r>
        <w:rPr>
          <w:rFonts w:hint="eastAsia" w:asciiTheme="minorEastAsia" w:hAnsiTheme="minorEastAsia" w:eastAsiaTheme="minorEastAsia" w:cstheme="minorEastAsia"/>
        </w:rPr>
        <w:drawing>
          <wp:inline distT="0" distB="0" distL="114300" distR="114300">
            <wp:extent cx="4284345" cy="2248535"/>
            <wp:effectExtent l="0" t="0" r="13335" b="6985"/>
            <wp:docPr id="11" name="图表 1" descr="7b0a202020202263686172745265734964223a20223230343735353839220a7d0a"/>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color w:val="auto"/>
          <w:sz w:val="21"/>
          <w:szCs w:val="21"/>
          <w:lang w:val="en-US" w:eastAsia="zh-CN"/>
        </w:rPr>
      </w:pPr>
      <w:r>
        <w:rPr>
          <w:rFonts w:hint="eastAsia" w:ascii="Times New Roman" w:hAnsi="Times New Roman" w:eastAsia="宋体" w:cs="Times New Roman"/>
          <w:b/>
          <w:bCs/>
          <w:color w:val="auto"/>
          <w:sz w:val="21"/>
          <w:szCs w:val="21"/>
          <w:lang w:val="en-US" w:eastAsia="zh-CN"/>
        </w:rPr>
        <w:t>图2</w:t>
      </w:r>
      <w:r>
        <w:rPr>
          <w:rFonts w:hint="eastAsia" w:ascii="Times New Roman" w:hAnsi="Times New Roman" w:cs="Times New Roman"/>
          <w:b/>
          <w:bCs/>
          <w:color w:val="auto"/>
          <w:sz w:val="21"/>
          <w:szCs w:val="21"/>
          <w:lang w:val="en-US" w:eastAsia="zh-CN"/>
        </w:rPr>
        <w:t xml:space="preserve"> </w:t>
      </w:r>
      <w:r>
        <w:rPr>
          <w:rFonts w:hint="eastAsia" w:ascii="Times New Roman" w:hAnsi="Times New Roman" w:eastAsia="宋体" w:cs="Times New Roman"/>
          <w:b/>
          <w:bCs/>
          <w:color w:val="auto"/>
          <w:sz w:val="21"/>
          <w:szCs w:val="21"/>
          <w:lang w:val="en-US" w:eastAsia="zh-CN"/>
        </w:rPr>
        <w:t xml:space="preserve"> 湖州学院专任教师学历学位分布情况</w:t>
      </w:r>
    </w:p>
    <w:p>
      <w:pPr>
        <w:bidi w:val="0"/>
        <w:jc w:val="center"/>
        <w:rPr>
          <w:rFonts w:hint="eastAsia" w:asciiTheme="minorEastAsia" w:hAnsiTheme="minorEastAsia" w:eastAsiaTheme="minorEastAsia" w:cstheme="minorEastAsia"/>
          <w:lang w:val="en-US" w:eastAsia="zh-CN"/>
        </w:rPr>
      </w:pPr>
    </w:p>
    <w:p>
      <w:pPr>
        <w:bidi w:val="0"/>
        <w:jc w:val="center"/>
        <w:rPr>
          <w:rFonts w:hint="eastAsia" w:asciiTheme="minorEastAsia" w:hAnsiTheme="minorEastAsia" w:eastAsiaTheme="minorEastAsia" w:cstheme="minorEastAsia"/>
        </w:rPr>
      </w:pPr>
      <w:r>
        <w:rPr>
          <w:rFonts w:hint="eastAsia" w:asciiTheme="minorEastAsia" w:hAnsiTheme="minorEastAsia" w:eastAsiaTheme="minorEastAsia" w:cstheme="minorEastAsia"/>
        </w:rPr>
        <w:drawing>
          <wp:inline distT="0" distB="0" distL="114300" distR="114300">
            <wp:extent cx="4592955" cy="2378710"/>
            <wp:effectExtent l="0" t="0" r="9525" b="13970"/>
            <wp:docPr id="13" name="图表 5" descr="7b0a202020202263686172745265734964223a20223230343735353839220a7d0a"/>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color w:val="auto"/>
          <w:sz w:val="21"/>
          <w:szCs w:val="21"/>
          <w:lang w:val="en-US" w:eastAsia="zh-CN"/>
        </w:rPr>
      </w:pPr>
      <w:r>
        <w:rPr>
          <w:rFonts w:hint="eastAsia" w:ascii="Times New Roman" w:hAnsi="Times New Roman" w:eastAsia="宋体" w:cs="Times New Roman"/>
          <w:b/>
          <w:bCs/>
          <w:color w:val="auto"/>
          <w:sz w:val="21"/>
          <w:szCs w:val="21"/>
          <w:lang w:val="en-US" w:eastAsia="zh-CN"/>
        </w:rPr>
        <w:t>图3</w:t>
      </w:r>
      <w:r>
        <w:rPr>
          <w:rFonts w:hint="eastAsia" w:ascii="Times New Roman" w:hAnsi="Times New Roman" w:cs="Times New Roman"/>
          <w:b/>
          <w:bCs/>
          <w:color w:val="auto"/>
          <w:sz w:val="21"/>
          <w:szCs w:val="21"/>
          <w:lang w:val="en-US" w:eastAsia="zh-CN"/>
        </w:rPr>
        <w:t xml:space="preserve"> </w:t>
      </w:r>
      <w:r>
        <w:rPr>
          <w:rFonts w:hint="eastAsia" w:ascii="Times New Roman" w:hAnsi="Times New Roman" w:eastAsia="宋体" w:cs="Times New Roman"/>
          <w:b/>
          <w:bCs/>
          <w:color w:val="auto"/>
          <w:sz w:val="21"/>
          <w:szCs w:val="21"/>
          <w:lang w:val="en-US" w:eastAsia="zh-CN"/>
        </w:rPr>
        <w:t xml:space="preserve"> 湖州学院专任教师年龄结构分布情况</w:t>
      </w:r>
    </w:p>
    <w:p>
      <w:pPr>
        <w:bidi w:val="0"/>
        <w:jc w:val="center"/>
        <w:rPr>
          <w:rFonts w:hint="eastAsia" w:asciiTheme="minorEastAsia" w:hAnsiTheme="minorEastAsia" w:eastAsiaTheme="minorEastAsia" w:cstheme="minorEastAsia"/>
          <w:lang w:val="en-US" w:eastAsia="zh-CN"/>
        </w:rPr>
      </w:pPr>
    </w:p>
    <w:p>
      <w:pPr>
        <w:bidi w:val="0"/>
        <w:jc w:val="center"/>
        <w:rPr>
          <w:rFonts w:hint="eastAsia" w:asciiTheme="minorEastAsia" w:hAnsiTheme="minorEastAsia" w:eastAsiaTheme="minorEastAsia" w:cstheme="minorEastAsia"/>
        </w:rPr>
      </w:pPr>
      <w:r>
        <w:rPr>
          <w:rFonts w:hint="eastAsia" w:asciiTheme="minorEastAsia" w:hAnsiTheme="minorEastAsia" w:eastAsiaTheme="minorEastAsia" w:cstheme="minorEastAsia"/>
        </w:rPr>
        <w:drawing>
          <wp:inline distT="0" distB="0" distL="114300" distR="114300">
            <wp:extent cx="4826000" cy="2743200"/>
            <wp:effectExtent l="0" t="0" r="0" b="0"/>
            <wp:docPr id="14" name="图表 1" descr="7b0a202020202263686172745265734964223a20223230343736303735220a7d0a"/>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color w:val="auto"/>
          <w:sz w:val="21"/>
          <w:szCs w:val="21"/>
          <w:lang w:val="en-US" w:eastAsia="zh-CN"/>
        </w:rPr>
      </w:pPr>
      <w:r>
        <w:rPr>
          <w:rFonts w:hint="eastAsia" w:ascii="Times New Roman" w:hAnsi="Times New Roman" w:eastAsia="宋体" w:cs="Times New Roman"/>
          <w:b/>
          <w:bCs/>
          <w:color w:val="auto"/>
          <w:sz w:val="21"/>
          <w:szCs w:val="21"/>
          <w:lang w:val="en-US" w:eastAsia="zh-CN"/>
        </w:rPr>
        <w:t xml:space="preserve">图4 </w:t>
      </w:r>
      <w:r>
        <w:rPr>
          <w:rFonts w:hint="eastAsia" w:ascii="Times New Roman" w:hAnsi="Times New Roman" w:cs="Times New Roman"/>
          <w:b/>
          <w:bCs/>
          <w:color w:val="auto"/>
          <w:sz w:val="21"/>
          <w:szCs w:val="21"/>
          <w:lang w:val="en-US" w:eastAsia="zh-CN"/>
        </w:rPr>
        <w:t xml:space="preserve"> </w:t>
      </w:r>
      <w:r>
        <w:rPr>
          <w:rFonts w:hint="eastAsia" w:ascii="Times New Roman" w:hAnsi="Times New Roman" w:eastAsia="宋体" w:cs="Times New Roman"/>
          <w:b/>
          <w:bCs/>
          <w:color w:val="auto"/>
          <w:sz w:val="21"/>
          <w:szCs w:val="21"/>
          <w:lang w:val="en-US" w:eastAsia="zh-CN"/>
        </w:rPr>
        <w:t>湖州学院近三年师资队伍变化情况</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outlineLvl w:val="2"/>
        <w:rPr>
          <w:rFonts w:hint="eastAsia" w:ascii="Times New Roman" w:hAnsi="Times New Roman" w:eastAsia="黑体" w:cs="Times New Roman"/>
          <w:color w:val="auto"/>
          <w:kern w:val="0"/>
          <w:sz w:val="24"/>
          <w:lang w:val="en-US" w:eastAsia="zh-CN" w:bidi="ar"/>
        </w:rPr>
      </w:pPr>
    </w:p>
    <w:p>
      <w:pPr>
        <w:keepNext w:val="0"/>
        <w:keepLines w:val="0"/>
        <w:pageBreakBefore w:val="0"/>
        <w:widowControl w:val="0"/>
        <w:kinsoku/>
        <w:wordWrap/>
        <w:overflowPunct/>
        <w:topLinePunct w:val="0"/>
        <w:autoSpaceDE/>
        <w:autoSpaceDN/>
        <w:bidi w:val="0"/>
        <w:adjustRightInd/>
        <w:snapToGrid/>
        <w:spacing w:line="240" w:lineRule="auto"/>
        <w:jc w:val="left"/>
        <w:textAlignment w:val="auto"/>
        <w:outlineLvl w:val="2"/>
        <w:rPr>
          <w:rFonts w:hint="default" w:ascii="Times New Roman" w:hAnsi="Times New Roman" w:eastAsia="黑体" w:cs="Times New Roman"/>
          <w:color w:val="auto"/>
          <w:kern w:val="0"/>
          <w:sz w:val="24"/>
          <w:lang w:val="en-US" w:eastAsia="zh-CN" w:bidi="ar"/>
        </w:rPr>
      </w:pPr>
      <w:r>
        <w:rPr>
          <w:rFonts w:hint="eastAsia" w:ascii="Times New Roman" w:hAnsi="Times New Roman" w:eastAsia="黑体" w:cs="Times New Roman"/>
          <w:color w:val="auto"/>
          <w:kern w:val="0"/>
          <w:sz w:val="24"/>
          <w:lang w:val="en-US" w:eastAsia="zh-CN" w:bidi="ar"/>
        </w:rPr>
        <w:t>3.</w:t>
      </w:r>
      <w:r>
        <w:rPr>
          <w:rFonts w:hint="default" w:ascii="Times New Roman" w:hAnsi="Times New Roman" w:eastAsia="黑体" w:cs="Times New Roman"/>
          <w:color w:val="auto"/>
          <w:kern w:val="0"/>
          <w:sz w:val="24"/>
          <w:lang w:val="en-US" w:eastAsia="zh-CN" w:bidi="ar"/>
        </w:rPr>
        <w:t>高层次人才称号情况</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Theme="minorEastAsia" w:hAnsiTheme="minorEastAsia" w:eastAsiaTheme="minorEastAsia" w:cstheme="minorEastAsia"/>
          <w:sz w:val="24"/>
          <w:szCs w:val="24"/>
          <w:highlight w:val="none"/>
          <w:lang w:val="en-US" w:eastAsia="zh-CN"/>
        </w:rPr>
      </w:pPr>
      <w:r>
        <w:rPr>
          <w:rFonts w:hint="eastAsia" w:asciiTheme="minorEastAsia" w:hAnsiTheme="minorEastAsia" w:eastAsiaTheme="minorEastAsia" w:cstheme="minorEastAsia"/>
          <w:sz w:val="24"/>
          <w:szCs w:val="24"/>
          <w:highlight w:val="none"/>
          <w:lang w:val="en-US" w:eastAsia="zh-CN"/>
        </w:rPr>
        <w:t>我校现有“浙江省五个一批人才”“福建省闽江学者特聘教授”“新疆维吾尔自治区四个一批人才”等省级人才共3人；浙江省151人才工程，第三层次培养人员，浙江省高校中青年学科带头人，浙江省青年教师资助计划获得者，浙江省高校领军人才培养计划高层次拔尖人才、青年优秀人才，浙江省高校“青年攀登计划”中青年学科带头人培养对象，浙江省高等学校教坛新秀，浙江省第五批全国中医临床优秀人才研修项目培养对象等各类其他人才称号30余人次；“南太湖本土高层次人才特殊支持计划”科技创新领军人才、教育领军人才、人文社科领军人才、青年拔尖人才，</w:t>
      </w:r>
      <w:bookmarkStart w:id="24" w:name="OLE_LINK6"/>
      <w:r>
        <w:rPr>
          <w:rFonts w:hint="eastAsia" w:asciiTheme="minorEastAsia" w:hAnsiTheme="minorEastAsia" w:eastAsiaTheme="minorEastAsia" w:cstheme="minorEastAsia"/>
          <w:sz w:val="24"/>
          <w:szCs w:val="24"/>
          <w:highlight w:val="none"/>
          <w:lang w:val="en-US" w:eastAsia="zh-CN"/>
        </w:rPr>
        <w:t>湖州市南太湖精英计划入选人才，湖州市“1112人才工程”培养人选，湖州市宣传文化“五个一批”</w:t>
      </w:r>
      <w:bookmarkEnd w:id="24"/>
      <w:r>
        <w:rPr>
          <w:rFonts w:hint="eastAsia" w:asciiTheme="minorEastAsia" w:hAnsiTheme="minorEastAsia" w:eastAsiaTheme="minorEastAsia" w:cstheme="minorEastAsia"/>
          <w:sz w:val="24"/>
          <w:szCs w:val="24"/>
          <w:highlight w:val="none"/>
          <w:lang w:val="en-US" w:eastAsia="zh-CN"/>
        </w:rPr>
        <w:t>优秀人才以及其他各类市级人才称号20余人次。</w:t>
      </w:r>
      <w:bookmarkStart w:id="25" w:name="OLE_LINK11"/>
    </w:p>
    <w:bookmarkEnd w:id="25"/>
    <w:p>
      <w:pPr>
        <w:keepNext w:val="0"/>
        <w:keepLines w:val="0"/>
        <w:pageBreakBefore w:val="0"/>
        <w:widowControl w:val="0"/>
        <w:kinsoku/>
        <w:wordWrap/>
        <w:overflowPunct/>
        <w:topLinePunct w:val="0"/>
        <w:autoSpaceDE/>
        <w:autoSpaceDN/>
        <w:bidi w:val="0"/>
        <w:adjustRightInd/>
        <w:snapToGrid/>
        <w:spacing w:line="240" w:lineRule="auto"/>
        <w:textAlignment w:val="auto"/>
        <w:outlineLvl w:val="1"/>
        <w:rPr>
          <w:rFonts w:hint="eastAsia" w:asciiTheme="minorEastAsia" w:hAnsiTheme="minorEastAsia" w:eastAsiaTheme="minorEastAsia" w:cstheme="minorEastAsia"/>
          <w:color w:val="auto"/>
          <w:sz w:val="24"/>
          <w:szCs w:val="24"/>
          <w:highlight w:val="none"/>
        </w:rPr>
      </w:pPr>
      <w:bookmarkStart w:id="26" w:name="_Toc5546"/>
      <w:r>
        <w:rPr>
          <w:rFonts w:hint="eastAsia" w:ascii="Times New Roman" w:hAnsi="Times New Roman" w:eastAsia="黑体" w:cs="Times New Roman"/>
          <w:color w:val="auto"/>
          <w:sz w:val="28"/>
          <w:szCs w:val="28"/>
          <w:highlight w:val="none"/>
          <w:lang w:val="en-US" w:eastAsia="zh-CN"/>
        </w:rPr>
        <w:t>（二）教授承担本科课程情况</w:t>
      </w:r>
      <w:bookmarkEnd w:id="26"/>
      <w:r>
        <w:rPr>
          <w:rFonts w:hint="eastAsia" w:asciiTheme="minorEastAsia" w:hAnsiTheme="minorEastAsia" w:eastAsiaTheme="minorEastAsia" w:cstheme="minorEastAsia"/>
          <w:color w:val="auto"/>
          <w:sz w:val="24"/>
          <w:szCs w:val="24"/>
          <w:highlight w:val="none"/>
        </w:rPr>
        <w:tab/>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Theme="minorEastAsia" w:hAnsiTheme="minorEastAsia" w:eastAsiaTheme="minorEastAsia" w:cstheme="minorEastAsia"/>
          <w:sz w:val="24"/>
          <w:szCs w:val="24"/>
          <w:highlight w:val="none"/>
          <w:lang w:val="en-US" w:eastAsia="zh-CN"/>
        </w:rPr>
      </w:pPr>
      <w:r>
        <w:rPr>
          <w:rFonts w:hint="default" w:asciiTheme="minorEastAsia" w:hAnsiTheme="minorEastAsia" w:eastAsiaTheme="minorEastAsia" w:cstheme="minorEastAsia"/>
          <w:sz w:val="24"/>
          <w:szCs w:val="24"/>
          <w:highlight w:val="none"/>
          <w:lang w:val="en-US" w:eastAsia="zh-CN"/>
        </w:rPr>
        <w:t>2023-2024学年，学校共开设课程1182门，总门次数达3303</w:t>
      </w:r>
      <w:r>
        <w:rPr>
          <w:rFonts w:hint="eastAsia" w:asciiTheme="minorEastAsia" w:hAnsiTheme="minorEastAsia" w:eastAsiaTheme="minorEastAsia" w:cstheme="minorEastAsia"/>
          <w:sz w:val="24"/>
          <w:szCs w:val="24"/>
          <w:highlight w:val="none"/>
          <w:lang w:val="en-US" w:eastAsia="zh-CN"/>
        </w:rPr>
        <w:t>门</w:t>
      </w:r>
      <w:r>
        <w:rPr>
          <w:rFonts w:hint="default" w:asciiTheme="minorEastAsia" w:hAnsiTheme="minorEastAsia" w:eastAsiaTheme="minorEastAsia" w:cstheme="minorEastAsia"/>
          <w:sz w:val="24"/>
          <w:szCs w:val="24"/>
          <w:highlight w:val="none"/>
          <w:lang w:val="en-US" w:eastAsia="zh-CN"/>
        </w:rPr>
        <w:t>。</w:t>
      </w:r>
      <w:r>
        <w:rPr>
          <w:rFonts w:hint="eastAsia" w:asciiTheme="minorEastAsia" w:hAnsiTheme="minorEastAsia" w:eastAsiaTheme="minorEastAsia" w:cstheme="minorEastAsia"/>
          <w:sz w:val="24"/>
          <w:szCs w:val="24"/>
          <w:highlight w:val="none"/>
          <w:lang w:val="en-US" w:eastAsia="zh-CN"/>
        </w:rPr>
        <w:t>其中</w:t>
      </w:r>
      <w:r>
        <w:rPr>
          <w:rFonts w:hint="default" w:asciiTheme="minorEastAsia" w:hAnsiTheme="minorEastAsia" w:eastAsiaTheme="minorEastAsia" w:cstheme="minorEastAsia"/>
          <w:sz w:val="24"/>
          <w:szCs w:val="24"/>
          <w:highlight w:val="none"/>
          <w:lang w:val="en-US" w:eastAsia="zh-CN"/>
        </w:rPr>
        <w:t>教授授课134门次，占课程总门次的比例为4.06%，教授为本科生授课比例为100%。</w:t>
      </w:r>
      <w:r>
        <w:rPr>
          <w:rFonts w:hint="eastAsia" w:asciiTheme="minorEastAsia" w:hAnsiTheme="minorEastAsia" w:eastAsiaTheme="minorEastAsia" w:cstheme="minorEastAsia"/>
          <w:sz w:val="24"/>
          <w:szCs w:val="24"/>
          <w:highlight w:val="none"/>
          <w:lang w:val="en-US" w:eastAsia="zh-CN"/>
        </w:rPr>
        <w:t>教授讲授必修课程69门，占教授授课总门数的51.5%；选修课程40门，占教授授课总门数的29.8%；实践课程25门，占教授授课总门数的18.7%。</w:t>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1"/>
        <w:rPr>
          <w:rFonts w:hint="eastAsia" w:ascii="Times New Roman" w:hAnsi="Times New Roman" w:eastAsia="黑体" w:cs="Times New Roman"/>
          <w:color w:val="auto"/>
          <w:sz w:val="28"/>
          <w:szCs w:val="28"/>
          <w:lang w:val="en-US" w:eastAsia="zh-CN"/>
        </w:rPr>
      </w:pPr>
      <w:bookmarkStart w:id="27" w:name="_Toc18040"/>
      <w:r>
        <w:rPr>
          <w:rFonts w:hint="eastAsia" w:ascii="Times New Roman" w:hAnsi="Times New Roman" w:eastAsia="黑体" w:cs="Times New Roman"/>
          <w:color w:val="auto"/>
          <w:sz w:val="28"/>
          <w:szCs w:val="28"/>
          <w:lang w:val="en-US" w:eastAsia="zh-CN"/>
        </w:rPr>
        <w:t>（三）教师教学发展情况</w:t>
      </w:r>
      <w:bookmarkEnd w:id="27"/>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eastAsiaTheme="minorEastAsia"/>
          <w:b w:val="0"/>
          <w:bCs w:val="0"/>
          <w:sz w:val="24"/>
          <w:szCs w:val="24"/>
          <w:highlight w:val="none"/>
          <w:lang w:val="en-US" w:eastAsia="zh-CN"/>
        </w:rPr>
      </w:pPr>
      <w:r>
        <w:rPr>
          <w:rFonts w:hint="eastAsia" w:asciiTheme="minorEastAsia" w:hAnsiTheme="minorEastAsia" w:eastAsiaTheme="minorEastAsia" w:cstheme="minorEastAsia"/>
          <w:sz w:val="24"/>
          <w:szCs w:val="24"/>
          <w:highlight w:val="none"/>
          <w:lang w:val="en-US" w:eastAsia="zh-CN"/>
        </w:rPr>
        <w:t>本学年学校</w:t>
      </w:r>
      <w:r>
        <w:rPr>
          <w:rFonts w:hint="default" w:asciiTheme="minorEastAsia" w:hAnsiTheme="minorEastAsia" w:eastAsiaTheme="minorEastAsia" w:cstheme="minorEastAsia"/>
          <w:sz w:val="24"/>
          <w:szCs w:val="24"/>
          <w:highlight w:val="none"/>
          <w:lang w:val="en-US" w:eastAsia="zh-CN"/>
        </w:rPr>
        <w:t>以争创省级教师教学发展示范中心为引领，</w:t>
      </w:r>
      <w:r>
        <w:rPr>
          <w:rFonts w:hint="eastAsia" w:asciiTheme="minorEastAsia" w:hAnsiTheme="minorEastAsia" w:eastAsiaTheme="minorEastAsia" w:cstheme="minorEastAsia"/>
          <w:sz w:val="24"/>
          <w:szCs w:val="24"/>
          <w:highlight w:val="none"/>
          <w:lang w:val="en-US" w:eastAsia="zh-CN"/>
        </w:rPr>
        <w:t>理顺</w:t>
      </w:r>
      <w:r>
        <w:rPr>
          <w:rFonts w:hint="default" w:asciiTheme="minorEastAsia" w:hAnsiTheme="minorEastAsia" w:eastAsiaTheme="minorEastAsia" w:cstheme="minorEastAsia"/>
          <w:sz w:val="24"/>
          <w:szCs w:val="24"/>
          <w:highlight w:val="none"/>
          <w:lang w:val="en-US" w:eastAsia="zh-CN"/>
        </w:rPr>
        <w:t>校院两级教师发展中心</w:t>
      </w:r>
      <w:r>
        <w:rPr>
          <w:rFonts w:hint="eastAsia" w:asciiTheme="minorEastAsia" w:hAnsiTheme="minorEastAsia" w:eastAsiaTheme="minorEastAsia" w:cstheme="minorEastAsia"/>
          <w:sz w:val="24"/>
          <w:szCs w:val="24"/>
          <w:highlight w:val="none"/>
          <w:lang w:val="en-US" w:eastAsia="zh-CN"/>
        </w:rPr>
        <w:t>运行机制，</w:t>
      </w:r>
      <w:r>
        <w:rPr>
          <w:rFonts w:hint="default" w:asciiTheme="minorEastAsia" w:hAnsiTheme="minorEastAsia" w:eastAsiaTheme="minorEastAsia" w:cstheme="minorEastAsia"/>
          <w:sz w:val="24"/>
          <w:szCs w:val="24"/>
          <w:highlight w:val="none"/>
          <w:lang w:val="en-US" w:eastAsia="zh-CN"/>
        </w:rPr>
        <w:t>完善教师教学能力培训体系</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搭建教师发展中心网络平台，实现教师在线培训、课程讨论、咨询交流、学习档案学分记录等功能，教师</w:t>
      </w:r>
      <w:r>
        <w:rPr>
          <w:rFonts w:hint="eastAsia" w:asciiTheme="minorEastAsia" w:hAnsiTheme="minorEastAsia" w:eastAsiaTheme="minorEastAsia" w:cstheme="minorEastAsia"/>
          <w:sz w:val="24"/>
          <w:szCs w:val="24"/>
          <w:highlight w:val="none"/>
          <w:lang w:val="en-US" w:eastAsia="zh-CN"/>
        </w:rPr>
        <w:t>在线</w:t>
      </w:r>
      <w:r>
        <w:rPr>
          <w:rFonts w:hint="default" w:asciiTheme="minorEastAsia" w:hAnsiTheme="minorEastAsia" w:eastAsiaTheme="minorEastAsia" w:cstheme="minorEastAsia"/>
          <w:sz w:val="24"/>
          <w:szCs w:val="24"/>
          <w:highlight w:val="none"/>
          <w:lang w:val="en-US" w:eastAsia="zh-CN"/>
        </w:rPr>
        <w:t>可观摩来自全国著名高校351门线上课程，查阅300</w:t>
      </w:r>
      <w:r>
        <w:rPr>
          <w:rFonts w:hint="eastAsia" w:asciiTheme="minorEastAsia" w:hAnsiTheme="minorEastAsia" w:eastAsiaTheme="minorEastAsia" w:cstheme="minorEastAsia"/>
          <w:sz w:val="24"/>
          <w:szCs w:val="24"/>
          <w:highlight w:val="none"/>
          <w:lang w:val="en-US" w:eastAsia="zh-CN"/>
        </w:rPr>
        <w:t>余</w:t>
      </w:r>
      <w:r>
        <w:rPr>
          <w:rFonts w:hint="default" w:asciiTheme="minorEastAsia" w:hAnsiTheme="minorEastAsia" w:eastAsiaTheme="minorEastAsia" w:cstheme="minorEastAsia"/>
          <w:sz w:val="24"/>
          <w:szCs w:val="24"/>
          <w:highlight w:val="none"/>
          <w:lang w:val="en-US" w:eastAsia="zh-CN"/>
        </w:rPr>
        <w:t>种教学期刊，阅读200</w:t>
      </w:r>
      <w:r>
        <w:rPr>
          <w:rFonts w:hint="eastAsia" w:asciiTheme="minorEastAsia" w:hAnsiTheme="minorEastAsia" w:eastAsiaTheme="minorEastAsia" w:cstheme="minorEastAsia"/>
          <w:sz w:val="24"/>
          <w:szCs w:val="24"/>
          <w:highlight w:val="none"/>
          <w:lang w:val="en-US" w:eastAsia="zh-CN"/>
        </w:rPr>
        <w:t>余</w:t>
      </w:r>
      <w:r>
        <w:rPr>
          <w:rFonts w:hint="default" w:asciiTheme="minorEastAsia" w:hAnsiTheme="minorEastAsia" w:eastAsiaTheme="minorEastAsia" w:cstheme="minorEastAsia"/>
          <w:sz w:val="24"/>
          <w:szCs w:val="24"/>
          <w:highlight w:val="none"/>
          <w:lang w:val="en-US" w:eastAsia="zh-CN"/>
        </w:rPr>
        <w:t>种教学图书。</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heme="minorEastAsia" w:hAnsiTheme="minorEastAsia" w:eastAsiaTheme="minorEastAsia" w:cstheme="minorEastAsia"/>
          <w:sz w:val="24"/>
          <w:szCs w:val="24"/>
          <w:highlight w:val="none"/>
          <w:lang w:val="en-US" w:eastAsia="zh-CN"/>
        </w:rPr>
      </w:pPr>
      <w:r>
        <w:rPr>
          <w:rFonts w:hint="default" w:asciiTheme="minorEastAsia" w:hAnsiTheme="minorEastAsia" w:eastAsiaTheme="minorEastAsia" w:cstheme="minorEastAsia"/>
          <w:sz w:val="24"/>
          <w:szCs w:val="24"/>
          <w:highlight w:val="none"/>
          <w:lang w:val="en-US" w:eastAsia="zh-CN"/>
        </w:rPr>
        <w:t>开展青年教师</w:t>
      </w:r>
      <w:r>
        <w:rPr>
          <w:rFonts w:hint="eastAsia" w:asciiTheme="minorEastAsia" w:hAnsiTheme="minorEastAsia" w:eastAsiaTheme="minorEastAsia" w:cstheme="minorEastAsia"/>
          <w:sz w:val="24"/>
          <w:szCs w:val="24"/>
          <w:highlight w:val="none"/>
          <w:lang w:val="en-US" w:eastAsia="zh-CN"/>
        </w:rPr>
        <w:t>助</w:t>
      </w:r>
      <w:r>
        <w:rPr>
          <w:rFonts w:hint="default" w:asciiTheme="minorEastAsia" w:hAnsiTheme="minorEastAsia" w:eastAsiaTheme="minorEastAsia" w:cstheme="minorEastAsia"/>
          <w:sz w:val="24"/>
          <w:szCs w:val="24"/>
          <w:highlight w:val="none"/>
          <w:lang w:val="en-US" w:eastAsia="zh-CN"/>
        </w:rPr>
        <w:t>讲培养</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根据《湖州学院青年教师培养制度实施办法》，为32名新进教师配备27名高级职称教师担任指导老师，帮助其尽快站稳讲台。先后组织新入职教工教育教学能力提升主题培训4场，泛雅平台建课实操培训1场，组织全校青年教师参加</w:t>
      </w:r>
      <w:r>
        <w:rPr>
          <w:rFonts w:hint="eastAsia" w:asciiTheme="minorEastAsia" w:hAnsiTheme="minorEastAsia" w:eastAsiaTheme="minorEastAsia" w:cstheme="minorEastAsia"/>
          <w:sz w:val="24"/>
          <w:szCs w:val="24"/>
          <w:highlight w:val="none"/>
          <w:lang w:val="en-US" w:eastAsia="zh-CN"/>
        </w:rPr>
        <w:t>“以赛促教，精进教技”“论一门国家级金课的养成”“一流专业的成长之路和课程思政的日常建构”等专题</w:t>
      </w:r>
      <w:r>
        <w:rPr>
          <w:rFonts w:hint="default" w:asciiTheme="minorEastAsia" w:hAnsiTheme="minorEastAsia" w:eastAsiaTheme="minorEastAsia" w:cstheme="minorEastAsia"/>
          <w:sz w:val="24"/>
          <w:szCs w:val="24"/>
          <w:highlight w:val="none"/>
          <w:lang w:val="en-US" w:eastAsia="zh-CN"/>
        </w:rPr>
        <w:t>报告会。完成寒假研修班1期，暑期“2024</w:t>
      </w:r>
      <w:r>
        <w:rPr>
          <w:rFonts w:hint="eastAsia" w:asciiTheme="minorEastAsia" w:hAnsiTheme="minorEastAsia" w:eastAsiaTheme="minorEastAsia" w:cstheme="minorEastAsia"/>
          <w:sz w:val="24"/>
          <w:szCs w:val="24"/>
          <w:highlight w:val="none"/>
          <w:lang w:val="en-US" w:eastAsia="zh-CN"/>
        </w:rPr>
        <w:t>年高校教学秘书业务能力提升”“高校教研室主任和专业负责人核心能力提升”“</w:t>
      </w:r>
      <w:r>
        <w:rPr>
          <w:rFonts w:hint="default" w:asciiTheme="minorEastAsia" w:hAnsiTheme="minorEastAsia" w:eastAsiaTheme="minorEastAsia" w:cstheme="minorEastAsia"/>
          <w:sz w:val="24"/>
          <w:szCs w:val="24"/>
          <w:highlight w:val="none"/>
          <w:lang w:val="en-US" w:eastAsia="zh-CN"/>
        </w:rPr>
        <w:t>2024</w:t>
      </w:r>
      <w:r>
        <w:rPr>
          <w:rFonts w:hint="eastAsia" w:asciiTheme="minorEastAsia" w:hAnsiTheme="minorEastAsia" w:eastAsiaTheme="minorEastAsia" w:cstheme="minorEastAsia"/>
          <w:sz w:val="24"/>
          <w:szCs w:val="24"/>
          <w:highlight w:val="none"/>
          <w:lang w:val="en-US" w:eastAsia="zh-CN"/>
        </w:rPr>
        <w:t>年全国教育督导人员系列培训”</w:t>
      </w:r>
      <w:r>
        <w:rPr>
          <w:rFonts w:hint="default" w:asciiTheme="minorEastAsia" w:hAnsiTheme="minorEastAsia" w:eastAsiaTheme="minorEastAsia" w:cstheme="minorEastAsia"/>
          <w:sz w:val="24"/>
          <w:szCs w:val="24"/>
          <w:highlight w:val="none"/>
          <w:lang w:val="en-US" w:eastAsia="zh-CN"/>
        </w:rPr>
        <w:t>主题分级分层培训活动，提升教职工的综合素质和业务能力。同时，邀请专家开展教学创新大赛与青年教师教学竞赛线上线下指导工作3场次，切实提高教师的参赛水平和竞赛能力。</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eastAsiaTheme="minorEastAsia"/>
          <w:b w:val="0"/>
          <w:bCs w:val="0"/>
          <w:sz w:val="24"/>
          <w:szCs w:val="24"/>
          <w:highlight w:val="none"/>
          <w:lang w:val="en-US" w:eastAsia="zh-CN"/>
        </w:rPr>
      </w:pPr>
      <w:r>
        <w:rPr>
          <w:rFonts w:hint="default" w:asciiTheme="minorEastAsia" w:hAnsiTheme="minorEastAsia" w:eastAsiaTheme="minorEastAsia" w:cstheme="minorEastAsia"/>
          <w:sz w:val="24"/>
          <w:szCs w:val="24"/>
          <w:highlight w:val="none"/>
          <w:lang w:val="en-US" w:eastAsia="zh-CN"/>
        </w:rPr>
        <w:t>组织教师参加第四届浙江省高校教师教学创新大赛，获得浙江省实验技能专项赛二等奖2项，教学创新大赛三等奖6项。组织教师参加浙江省第十三届高校青年教师教学竞赛，获得浙江省一等奖2项。组织参加</w:t>
      </w:r>
      <w:r>
        <w:rPr>
          <w:rFonts w:hint="eastAsia" w:asciiTheme="minorEastAsia" w:hAnsiTheme="minorEastAsia" w:eastAsiaTheme="minorEastAsia" w:cstheme="minorEastAsia"/>
          <w:sz w:val="24"/>
          <w:szCs w:val="24"/>
          <w:highlight w:val="none"/>
          <w:lang w:val="en-US" w:eastAsia="zh-CN"/>
        </w:rPr>
        <w:t>“智慧树杯”</w:t>
      </w:r>
      <w:r>
        <w:rPr>
          <w:rFonts w:hint="default" w:asciiTheme="minorEastAsia" w:hAnsiTheme="minorEastAsia" w:eastAsiaTheme="minorEastAsia" w:cstheme="minorEastAsia"/>
          <w:sz w:val="24"/>
          <w:szCs w:val="24"/>
          <w:highlight w:val="none"/>
          <w:lang w:val="en-US" w:eastAsia="zh-CN"/>
        </w:rPr>
        <w:t>全国课程思政示范案例教学大赛</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获一等奖2项</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二等奖6项，并获得“最佳组织奖”称号。评选湖州学院教坛新秀6人，</w:t>
      </w:r>
      <w:r>
        <w:rPr>
          <w:rFonts w:hint="eastAsia" w:asciiTheme="minorEastAsia" w:hAnsiTheme="minorEastAsia" w:eastAsiaTheme="minorEastAsia" w:cstheme="minorEastAsia"/>
          <w:sz w:val="24"/>
          <w:szCs w:val="24"/>
          <w:highlight w:val="none"/>
          <w:lang w:val="en-US" w:eastAsia="zh-CN"/>
        </w:rPr>
        <w:t>校</w:t>
      </w:r>
      <w:r>
        <w:rPr>
          <w:rFonts w:hint="default" w:asciiTheme="minorEastAsia" w:hAnsiTheme="minorEastAsia" w:eastAsiaTheme="minorEastAsia" w:cstheme="minorEastAsia"/>
          <w:sz w:val="24"/>
          <w:szCs w:val="24"/>
          <w:highlight w:val="none"/>
          <w:lang w:val="en-US" w:eastAsia="zh-CN"/>
        </w:rPr>
        <w:t>优秀基层教学组织5个。</w:t>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1"/>
        <w:rPr>
          <w:rFonts w:hint="eastAsia" w:ascii="Times New Roman" w:hAnsi="Times New Roman" w:eastAsia="黑体" w:cs="Times New Roman"/>
          <w:color w:val="auto"/>
          <w:sz w:val="28"/>
          <w:szCs w:val="28"/>
          <w:lang w:val="en-US" w:eastAsia="zh-CN"/>
        </w:rPr>
      </w:pPr>
      <w:bookmarkStart w:id="28" w:name="_Toc1963"/>
      <w:r>
        <w:rPr>
          <w:rFonts w:hint="eastAsia" w:ascii="Times New Roman" w:hAnsi="Times New Roman" w:eastAsia="黑体" w:cs="Times New Roman"/>
          <w:color w:val="auto"/>
          <w:sz w:val="28"/>
          <w:szCs w:val="28"/>
          <w:lang w:val="en-US" w:eastAsia="zh-CN"/>
        </w:rPr>
        <w:t>（四）教学经费投入情况</w:t>
      </w:r>
      <w:bookmarkEnd w:id="28"/>
      <w:r>
        <w:rPr>
          <w:rFonts w:hint="eastAsia" w:ascii="Times New Roman" w:hAnsi="Times New Roman" w:eastAsia="黑体" w:cs="Times New Roman"/>
          <w:color w:val="auto"/>
          <w:sz w:val="28"/>
          <w:szCs w:val="28"/>
          <w:lang w:val="en-US" w:eastAsia="zh-CN"/>
        </w:rPr>
        <w:tab/>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Theme="minorEastAsia" w:hAnsiTheme="minorEastAsia" w:eastAsiaTheme="minorEastAsia" w:cstheme="minorEastAsia"/>
          <w:sz w:val="24"/>
          <w:szCs w:val="24"/>
          <w:highlight w:val="none"/>
          <w:lang w:val="en-US" w:eastAsia="zh-CN"/>
        </w:rPr>
      </w:pPr>
      <w:r>
        <w:rPr>
          <w:rFonts w:hint="eastAsia" w:asciiTheme="minorEastAsia" w:hAnsiTheme="minorEastAsia" w:eastAsiaTheme="minorEastAsia" w:cstheme="minorEastAsia"/>
          <w:sz w:val="24"/>
          <w:szCs w:val="24"/>
          <w:highlight w:val="none"/>
          <w:lang w:val="en-US" w:eastAsia="zh-CN"/>
        </w:rPr>
        <w:t>学校自转设以来始终确保教学经费的投入，不断优化经费支出结构，实现了教学经费投入的逐年增长，有效改善了教学条件，保障教学改革和建设。2023年生均本科教学日常运行支出3184.94元；本科专项教学经费投入781.83万元；生均本科实验经费投入118.08元，生均本科实习经费投入141.76元。</w:t>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1"/>
        <w:rPr>
          <w:rFonts w:hint="eastAsia" w:ascii="Times New Roman" w:hAnsi="Times New Roman" w:eastAsia="黑体" w:cs="Times New Roman"/>
          <w:color w:val="auto"/>
          <w:sz w:val="28"/>
          <w:szCs w:val="28"/>
          <w:lang w:val="en-US" w:eastAsia="zh-CN"/>
        </w:rPr>
      </w:pPr>
      <w:bookmarkStart w:id="29" w:name="_Toc10667"/>
      <w:r>
        <w:rPr>
          <w:rFonts w:hint="eastAsia" w:ascii="Times New Roman" w:hAnsi="Times New Roman" w:eastAsia="黑体" w:cs="Times New Roman"/>
          <w:color w:val="auto"/>
          <w:sz w:val="28"/>
          <w:szCs w:val="28"/>
          <w:lang w:val="en-US" w:eastAsia="zh-CN"/>
        </w:rPr>
        <w:t>（五）教学条件与利用</w:t>
      </w:r>
      <w:bookmarkEnd w:id="29"/>
      <w:r>
        <w:rPr>
          <w:rFonts w:hint="eastAsia" w:ascii="Times New Roman" w:hAnsi="Times New Roman" w:eastAsia="黑体" w:cs="Times New Roman"/>
          <w:color w:val="auto"/>
          <w:sz w:val="28"/>
          <w:szCs w:val="28"/>
          <w:lang w:val="en-US" w:eastAsia="zh-CN"/>
        </w:rPr>
        <w:tab/>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outlineLvl w:val="2"/>
        <w:rPr>
          <w:rFonts w:hint="eastAsia" w:ascii="Times New Roman" w:hAnsi="Times New Roman" w:eastAsia="黑体" w:cs="Times New Roman"/>
          <w:color w:val="auto"/>
          <w:kern w:val="0"/>
          <w:sz w:val="24"/>
          <w:lang w:val="en-US" w:eastAsia="zh-CN" w:bidi="ar"/>
        </w:rPr>
      </w:pPr>
      <w:r>
        <w:rPr>
          <w:rFonts w:hint="eastAsia" w:ascii="Times New Roman" w:hAnsi="Times New Roman" w:eastAsia="黑体" w:cs="Times New Roman"/>
          <w:color w:val="auto"/>
          <w:kern w:val="0"/>
          <w:sz w:val="24"/>
          <w:lang w:val="en-US" w:eastAsia="zh-CN" w:bidi="ar"/>
        </w:rPr>
        <w:t>1.教学用房、仪器设备及其应用情况</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Theme="minorEastAsia" w:hAnsiTheme="minorEastAsia" w:eastAsiaTheme="minorEastAsia" w:cstheme="minorEastAsia"/>
          <w:sz w:val="24"/>
          <w:szCs w:val="24"/>
          <w:highlight w:val="none"/>
          <w:lang w:val="en-US" w:eastAsia="zh-CN"/>
        </w:rPr>
      </w:pPr>
      <w:r>
        <w:rPr>
          <w:rFonts w:hint="eastAsia" w:asciiTheme="minorEastAsia" w:hAnsiTheme="minorEastAsia" w:eastAsiaTheme="minorEastAsia" w:cstheme="minorEastAsia"/>
          <w:sz w:val="24"/>
          <w:szCs w:val="24"/>
          <w:highlight w:val="none"/>
          <w:lang w:val="en-US" w:eastAsia="zh-CN"/>
        </w:rPr>
        <w:t>全校教学及辅助用房面积137892.86平方米，行政办公用房面积12429.33平方米，总面积150322.19平方米，生均教学行政用房18.04平方米。其中，实验室面积65697.19平方米，生均实验室面积7.88平方米。仪器设备资产值7194.86万元，生均教学科研仪器设备值达到</w:t>
      </w:r>
      <w:r>
        <w:rPr>
          <w:rFonts w:hint="default" w:asciiTheme="minorEastAsia" w:hAnsiTheme="minorEastAsia" w:eastAsiaTheme="minorEastAsia" w:cstheme="minorEastAsia"/>
          <w:sz w:val="24"/>
          <w:szCs w:val="24"/>
          <w:highlight w:val="none"/>
          <w:lang w:val="en-US" w:eastAsia="zh-CN"/>
        </w:rPr>
        <w:t>8582.37</w:t>
      </w:r>
      <w:r>
        <w:rPr>
          <w:rFonts w:hint="eastAsia" w:asciiTheme="minorEastAsia" w:hAnsiTheme="minorEastAsia" w:eastAsiaTheme="minorEastAsia" w:cstheme="minorEastAsia"/>
          <w:sz w:val="24"/>
          <w:szCs w:val="24"/>
          <w:highlight w:val="none"/>
          <w:lang w:val="en-US" w:eastAsia="zh-CN"/>
        </w:rPr>
        <w:t>元。现有单价1000元以上的仪器设备台件数达到10703台（套），仪器设备总值7183.68万元。</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outlineLvl w:val="2"/>
        <w:rPr>
          <w:rFonts w:hint="eastAsia" w:ascii="Times New Roman" w:hAnsi="Times New Roman" w:eastAsia="黑体" w:cs="Times New Roman"/>
          <w:color w:val="auto"/>
          <w:kern w:val="0"/>
          <w:sz w:val="24"/>
          <w:lang w:val="en-US" w:eastAsia="zh-CN" w:bidi="ar"/>
        </w:rPr>
      </w:pPr>
      <w:r>
        <w:rPr>
          <w:rFonts w:hint="eastAsia" w:ascii="Times New Roman" w:hAnsi="Times New Roman" w:eastAsia="黑体" w:cs="Times New Roman"/>
          <w:color w:val="auto"/>
          <w:kern w:val="0"/>
          <w:sz w:val="24"/>
          <w:lang w:val="en-US" w:eastAsia="zh-CN" w:bidi="ar"/>
        </w:rPr>
        <w:t>2.图书信息资源与利用</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Theme="minorEastAsia" w:hAnsiTheme="minorEastAsia" w:eastAsiaTheme="minorEastAsia" w:cstheme="minorEastAsia"/>
          <w:sz w:val="24"/>
          <w:szCs w:val="24"/>
          <w:highlight w:val="none"/>
          <w:lang w:val="en-US" w:eastAsia="zh-CN"/>
        </w:rPr>
      </w:pPr>
      <w:r>
        <w:rPr>
          <w:rFonts w:hint="eastAsia" w:asciiTheme="minorEastAsia" w:hAnsiTheme="minorEastAsia" w:eastAsiaTheme="minorEastAsia" w:cstheme="minorEastAsia"/>
          <w:sz w:val="24"/>
          <w:szCs w:val="24"/>
          <w:highlight w:val="none"/>
          <w:lang w:val="en-US" w:eastAsia="zh-CN"/>
        </w:rPr>
        <w:t>校图书馆馆藏纸本图书76.54万册，生均纸质图书91.30册，电子图书225.24万册，电子期刊1915525种。图书馆拥有丰富的电子资源，有超星、万方、维普等42种中文数据库和Web of Science、ScienceDirect、ACM等27种外文数据库。</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heme="minorEastAsia" w:hAnsiTheme="minorEastAsia" w:eastAsiaTheme="minorEastAsia" w:cstheme="minorEastAsia"/>
          <w:sz w:val="24"/>
          <w:szCs w:val="24"/>
          <w:highlight w:val="none"/>
          <w:lang w:val="en-US" w:eastAsia="zh-CN"/>
        </w:rPr>
      </w:pPr>
      <w:r>
        <w:rPr>
          <w:rFonts w:hint="eastAsia" w:asciiTheme="minorEastAsia" w:hAnsiTheme="minorEastAsia" w:eastAsiaTheme="minorEastAsia" w:cstheme="minorEastAsia"/>
          <w:sz w:val="24"/>
          <w:szCs w:val="24"/>
          <w:highlight w:val="none"/>
          <w:lang w:val="en-US" w:eastAsia="zh-CN"/>
        </w:rPr>
        <w:t>图书馆圆满完成2023届全体新生入馆教育工作，带领新生了解图书馆概况、图书借还、座位和研修空间预约、电子存包柜和自助打印设备使用、图书馆规章制度等。聚焦纸质图书采购重点工作，制定图书馆2024-2026三年纸质图书采购计划，确保完成学校高水平应用型大学建设图书指标。制定《湖州学院文献捐赠管理办法》，首次开展大规模图书捐赠工作，接收社会捐赠图书共5878种20817册，累计码洋724805.67元。制定《图书资料类资产管理实施细则》，进一步明确和规范图书资料类资产管理工作。</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Theme="minorEastAsia" w:hAnsiTheme="minorEastAsia" w:eastAsiaTheme="minorEastAsia" w:cstheme="minorEastAsia"/>
          <w:sz w:val="24"/>
          <w:szCs w:val="24"/>
          <w:highlight w:val="none"/>
          <w:lang w:val="en-US" w:eastAsia="zh-CN"/>
        </w:rPr>
      </w:pPr>
      <w:r>
        <w:rPr>
          <w:rFonts w:hint="eastAsia" w:asciiTheme="minorEastAsia" w:hAnsiTheme="minorEastAsia" w:eastAsiaTheme="minorEastAsia" w:cstheme="minorEastAsia"/>
          <w:sz w:val="24"/>
          <w:szCs w:val="24"/>
          <w:highlight w:val="none"/>
          <w:lang w:val="en-US" w:eastAsia="zh-CN"/>
        </w:rPr>
        <w:t>学校持续提升基础设施建设，开展学校教室升级和维护工作。进一步完善网络安全服务工作，积极做好两会和亚运会期间学校网络安全保障工作。围绕师生需求，大力推进业务系统和平台建设。综合学校实际情况，统筹推进各部门信息化建设，先后建成审计数据上报系统、纪检内网及设备设施建设、舆情平台等系统平台。拓展学校云服务中心基础平台服务能力、为学校各业务系统提供便捷可靠的计算、存储资源。开展新校园智慧校园建设规划设计与专家论证，完成智能化工程项目招标。申报省人工智能应用试点单位并获批，编写湖州学院人工智能教育试点实施方案。</w:t>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0"/>
        <w:rPr>
          <w:rFonts w:hint="eastAsia" w:asciiTheme="minorEastAsia" w:hAnsiTheme="minorEastAsia" w:eastAsiaTheme="minorEastAsia" w:cstheme="minorEastAsia"/>
          <w:sz w:val="24"/>
          <w:szCs w:val="24"/>
          <w:lang w:eastAsia="zh-CN"/>
        </w:rPr>
      </w:pPr>
      <w:bookmarkStart w:id="30" w:name="_Toc12692"/>
      <w:r>
        <w:rPr>
          <w:rFonts w:hint="eastAsia" w:ascii="Times New Roman" w:hAnsi="Times New Roman" w:eastAsia="黑体" w:cs="Times New Roman"/>
          <w:color w:val="auto"/>
          <w:sz w:val="30"/>
          <w:szCs w:val="30"/>
        </w:rPr>
        <w:t>三、教学建设与改革</w:t>
      </w:r>
      <w:bookmarkEnd w:id="30"/>
      <w:r>
        <w:rPr>
          <w:rFonts w:hint="eastAsia" w:asciiTheme="minorEastAsia" w:hAnsiTheme="minorEastAsia" w:eastAsiaTheme="minorEastAsia" w:cstheme="minorEastAsia"/>
          <w:sz w:val="24"/>
          <w:szCs w:val="24"/>
        </w:rPr>
        <w:tab/>
      </w:r>
    </w:p>
    <w:p>
      <w:pPr>
        <w:jc w:val="both"/>
        <w:outlineLvl w:val="1"/>
        <w:rPr>
          <w:rFonts w:hint="eastAsia" w:ascii="Times New Roman" w:hAnsi="Times New Roman" w:eastAsia="黑体" w:cs="Times New Roman"/>
          <w:color w:val="auto"/>
          <w:sz w:val="28"/>
          <w:szCs w:val="28"/>
        </w:rPr>
      </w:pPr>
      <w:bookmarkStart w:id="31" w:name="_Toc13327"/>
      <w:r>
        <w:rPr>
          <w:rFonts w:hint="eastAsia" w:ascii="Times New Roman" w:hAnsi="Times New Roman" w:eastAsia="黑体" w:cs="Times New Roman"/>
          <w:color w:val="auto"/>
          <w:sz w:val="28"/>
          <w:szCs w:val="28"/>
        </w:rPr>
        <w:t>（一）专业建设</w:t>
      </w:r>
      <w:bookmarkEnd w:id="31"/>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heme="minorEastAsia" w:hAnsiTheme="minorEastAsia" w:eastAsiaTheme="minorEastAsia" w:cstheme="minorEastAsia"/>
          <w:sz w:val="24"/>
          <w:szCs w:val="24"/>
          <w:highlight w:val="none"/>
          <w:lang w:val="en-US" w:eastAsia="zh-CN"/>
        </w:rPr>
      </w:pPr>
      <w:r>
        <w:rPr>
          <w:rFonts w:hint="eastAsia" w:asciiTheme="minorEastAsia" w:hAnsiTheme="minorEastAsia" w:eastAsiaTheme="minorEastAsia" w:cstheme="minorEastAsia"/>
          <w:sz w:val="24"/>
          <w:szCs w:val="24"/>
          <w:highlight w:val="none"/>
          <w:lang w:val="en-US" w:eastAsia="zh-CN"/>
        </w:rPr>
        <w:t>注重内涵建设，</w:t>
      </w:r>
      <w:r>
        <w:rPr>
          <w:rFonts w:hint="default" w:asciiTheme="minorEastAsia" w:hAnsiTheme="minorEastAsia" w:eastAsiaTheme="minorEastAsia" w:cstheme="minorEastAsia"/>
          <w:sz w:val="24"/>
          <w:szCs w:val="24"/>
          <w:highlight w:val="none"/>
          <w:lang w:val="en-US" w:eastAsia="zh-CN"/>
        </w:rPr>
        <w:t>优化专业设置</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提升专业建设水平。</w:t>
      </w:r>
      <w:r>
        <w:rPr>
          <w:rFonts w:hint="eastAsia" w:asciiTheme="minorEastAsia" w:hAnsiTheme="minorEastAsia" w:eastAsiaTheme="minorEastAsia" w:cstheme="minorEastAsia"/>
          <w:sz w:val="24"/>
          <w:szCs w:val="24"/>
          <w:highlight w:val="none"/>
          <w:lang w:val="en-US" w:eastAsia="zh-CN"/>
        </w:rPr>
        <w:t>学校</w:t>
      </w:r>
      <w:r>
        <w:rPr>
          <w:rFonts w:hint="default" w:asciiTheme="minorEastAsia" w:hAnsiTheme="minorEastAsia" w:eastAsiaTheme="minorEastAsia" w:cstheme="minorEastAsia"/>
          <w:sz w:val="24"/>
          <w:szCs w:val="24"/>
          <w:highlight w:val="none"/>
          <w:lang w:val="en-US" w:eastAsia="zh-CN"/>
        </w:rPr>
        <w:t>以</w:t>
      </w:r>
      <w:r>
        <w:rPr>
          <w:rFonts w:hint="eastAsia" w:asciiTheme="minorEastAsia" w:hAnsiTheme="minorEastAsia" w:eastAsiaTheme="minorEastAsia" w:cstheme="minorEastAsia"/>
          <w:sz w:val="24"/>
          <w:szCs w:val="24"/>
          <w:highlight w:val="none"/>
          <w:lang w:val="en-US" w:eastAsia="zh-CN"/>
        </w:rPr>
        <w:t>“四新”</w:t>
      </w:r>
      <w:r>
        <w:rPr>
          <w:rFonts w:hint="default" w:asciiTheme="minorEastAsia" w:hAnsiTheme="minorEastAsia" w:eastAsiaTheme="minorEastAsia" w:cstheme="minorEastAsia"/>
          <w:sz w:val="24"/>
          <w:szCs w:val="24"/>
          <w:highlight w:val="none"/>
          <w:lang w:val="en-US" w:eastAsia="zh-CN"/>
        </w:rPr>
        <w:t>建设为引领，以教育部本科教学</w:t>
      </w:r>
      <w:r>
        <w:rPr>
          <w:rFonts w:hint="eastAsia" w:asciiTheme="minorEastAsia" w:hAnsiTheme="minorEastAsia" w:eastAsiaTheme="minorEastAsia" w:cstheme="minorEastAsia"/>
          <w:sz w:val="24"/>
          <w:szCs w:val="24"/>
          <w:highlight w:val="none"/>
          <w:lang w:val="en-US" w:eastAsia="zh-CN"/>
        </w:rPr>
        <w:t>工作</w:t>
      </w:r>
      <w:r>
        <w:rPr>
          <w:rFonts w:hint="default" w:asciiTheme="minorEastAsia" w:hAnsiTheme="minorEastAsia" w:eastAsiaTheme="minorEastAsia" w:cstheme="minorEastAsia"/>
          <w:sz w:val="24"/>
          <w:szCs w:val="24"/>
          <w:highlight w:val="none"/>
          <w:lang w:val="en-US" w:eastAsia="zh-CN"/>
        </w:rPr>
        <w:t>合格评估与专业认证为抓手</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以省、市、校专业建设项目为依托</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立足区域优势产业和深厚文化底蕴</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全面夯实学科专业基础</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大力建设特色和优势专业</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2023年9月，学校按照教育部和</w:t>
      </w:r>
      <w:r>
        <w:rPr>
          <w:rFonts w:hint="eastAsia" w:asciiTheme="minorEastAsia" w:hAnsiTheme="minorEastAsia" w:eastAsiaTheme="minorEastAsia" w:cstheme="minorEastAsia"/>
          <w:sz w:val="24"/>
          <w:szCs w:val="24"/>
          <w:highlight w:val="none"/>
          <w:lang w:val="en-US" w:eastAsia="zh-CN"/>
        </w:rPr>
        <w:t>浙江</w:t>
      </w:r>
      <w:r>
        <w:rPr>
          <w:rFonts w:hint="default" w:asciiTheme="minorEastAsia" w:hAnsiTheme="minorEastAsia" w:eastAsiaTheme="minorEastAsia" w:cstheme="minorEastAsia"/>
          <w:sz w:val="24"/>
          <w:szCs w:val="24"/>
          <w:highlight w:val="none"/>
          <w:lang w:val="en-US" w:eastAsia="zh-CN"/>
        </w:rPr>
        <w:t>省教育厅关于专业设置和建设的相关部署，结合学校专业设置推进的实际情况，印发《湖州学院学科专业设置调整优化改革工作实施方案》，2024年3月印发《</w:t>
      </w:r>
      <w:r>
        <w:rPr>
          <w:rFonts w:hint="eastAsia" w:asciiTheme="minorEastAsia" w:hAnsiTheme="minorEastAsia" w:eastAsiaTheme="minorEastAsia" w:cstheme="minorEastAsia"/>
          <w:sz w:val="24"/>
          <w:szCs w:val="24"/>
          <w:highlight w:val="none"/>
          <w:lang w:val="en-US" w:eastAsia="zh-CN"/>
        </w:rPr>
        <w:t>湖州学院</w:t>
      </w:r>
      <w:r>
        <w:rPr>
          <w:rFonts w:hint="default" w:asciiTheme="minorEastAsia" w:hAnsiTheme="minorEastAsia" w:eastAsiaTheme="minorEastAsia" w:cstheme="minorEastAsia"/>
          <w:sz w:val="24"/>
          <w:szCs w:val="24"/>
          <w:highlight w:val="none"/>
          <w:lang w:val="en-US" w:eastAsia="zh-CN"/>
        </w:rPr>
        <w:t>本科专业动态调整管理办法（试行）》，进一步完善专业设置和建设工作。</w:t>
      </w:r>
      <w:r>
        <w:rPr>
          <w:rFonts w:hint="eastAsia" w:asciiTheme="minorEastAsia" w:hAnsiTheme="minorEastAsia" w:eastAsiaTheme="minorEastAsia" w:cstheme="minorEastAsia"/>
          <w:sz w:val="24"/>
          <w:szCs w:val="24"/>
          <w:highlight w:val="none"/>
          <w:lang w:val="en-US" w:eastAsia="zh-CN"/>
        </w:rPr>
        <w:t>2024年1月新增3个校级一流专业，6月启动一流本科专业建设点项目中期评估工作。专业建设成效见表3。</w:t>
      </w:r>
    </w:p>
    <w:p>
      <w:pPr>
        <w:bidi w:val="0"/>
        <w:jc w:val="center"/>
        <w:rPr>
          <w:rFonts w:hint="default" w:ascii="Times New Roman" w:hAnsi="Times New Roman" w:eastAsia="宋体" w:cs="Times New Roman"/>
          <w:b/>
          <w:bCs/>
          <w:color w:val="auto"/>
          <w:lang w:val="en-US" w:eastAsia="zh-CN"/>
        </w:rPr>
      </w:pPr>
    </w:p>
    <w:p>
      <w:pPr>
        <w:bidi w:val="0"/>
        <w:jc w:val="center"/>
        <w:rPr>
          <w:rFonts w:hint="default"/>
          <w:color w:val="auto"/>
          <w:lang w:val="en-US" w:eastAsia="zh-CN"/>
        </w:rPr>
      </w:pPr>
      <w:r>
        <w:rPr>
          <w:rFonts w:hint="default" w:ascii="Times New Roman" w:hAnsi="Times New Roman" w:eastAsia="宋体" w:cs="Times New Roman"/>
          <w:b w:val="0"/>
          <w:bCs w:val="0"/>
          <w:color w:val="auto"/>
          <w:lang w:val="en-US" w:eastAsia="zh-CN"/>
        </w:rPr>
        <w:t>表</w:t>
      </w:r>
      <w:r>
        <w:rPr>
          <w:rFonts w:hint="eastAsia" w:ascii="Times New Roman" w:hAnsi="Times New Roman" w:cs="Times New Roman"/>
          <w:b w:val="0"/>
          <w:bCs w:val="0"/>
          <w:color w:val="auto"/>
          <w:lang w:val="en-US" w:eastAsia="zh-CN"/>
        </w:rPr>
        <w:t>3  专业建设成效一览表</w:t>
      </w:r>
    </w:p>
    <w:tbl>
      <w:tblPr>
        <w:tblStyle w:val="12"/>
        <w:tblW w:w="8399" w:type="dxa"/>
        <w:jc w:val="center"/>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0" w:type="dxa"/>
          <w:left w:w="108" w:type="dxa"/>
          <w:bottom w:w="0" w:type="dxa"/>
          <w:right w:w="108" w:type="dxa"/>
        </w:tblCellMar>
      </w:tblPr>
      <w:tblGrid>
        <w:gridCol w:w="670"/>
        <w:gridCol w:w="3064"/>
        <w:gridCol w:w="3015"/>
        <w:gridCol w:w="1650"/>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67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sz w:val="21"/>
                <w:szCs w:val="21"/>
                <w:highlight w:val="none"/>
                <w:u w:val="none"/>
              </w:rPr>
            </w:pPr>
            <w:r>
              <w:rPr>
                <w:rFonts w:hint="default" w:ascii="Times New Roman" w:hAnsi="Times New Roman" w:eastAsia="宋体" w:cs="Times New Roman"/>
                <w:b w:val="0"/>
                <w:bCs w:val="0"/>
                <w:i w:val="0"/>
                <w:iCs w:val="0"/>
                <w:color w:val="auto"/>
                <w:kern w:val="0"/>
                <w:sz w:val="21"/>
                <w:szCs w:val="21"/>
                <w:highlight w:val="none"/>
                <w:u w:val="none"/>
                <w:lang w:val="en-US" w:eastAsia="zh-CN" w:bidi="ar"/>
              </w:rPr>
              <w:t>序号</w:t>
            </w:r>
          </w:p>
        </w:tc>
        <w:tc>
          <w:tcPr>
            <w:tcW w:w="3064"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highlight w:val="none"/>
                <w:u w:val="none"/>
                <w:lang w:val="en-US" w:eastAsia="zh-CN" w:bidi="ar"/>
              </w:rPr>
            </w:pPr>
            <w:r>
              <w:rPr>
                <w:rFonts w:hint="default" w:ascii="Times New Roman" w:hAnsi="Times New Roman" w:eastAsia="宋体" w:cs="Times New Roman"/>
                <w:b w:val="0"/>
                <w:bCs w:val="0"/>
                <w:i w:val="0"/>
                <w:iCs w:val="0"/>
                <w:color w:val="auto"/>
                <w:kern w:val="0"/>
                <w:sz w:val="21"/>
                <w:szCs w:val="21"/>
                <w:highlight w:val="none"/>
                <w:u w:val="none"/>
                <w:lang w:val="en-US" w:eastAsia="zh-CN" w:bidi="ar"/>
              </w:rPr>
              <w:t>项目名称</w:t>
            </w: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highlight w:val="none"/>
                <w:u w:val="none"/>
                <w:lang w:val="en-US" w:eastAsia="zh-CN" w:bidi="ar"/>
              </w:rPr>
            </w:pPr>
            <w:r>
              <w:rPr>
                <w:rFonts w:hint="default" w:ascii="Times New Roman" w:hAnsi="Times New Roman" w:eastAsia="宋体" w:cs="Times New Roman"/>
                <w:b w:val="0"/>
                <w:bCs w:val="0"/>
                <w:i w:val="0"/>
                <w:iCs w:val="0"/>
                <w:color w:val="auto"/>
                <w:kern w:val="0"/>
                <w:sz w:val="21"/>
                <w:szCs w:val="21"/>
                <w:highlight w:val="none"/>
                <w:u w:val="none"/>
                <w:lang w:val="en-US" w:eastAsia="zh-CN" w:bidi="ar"/>
              </w:rPr>
              <w:t>专业名称</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highlight w:val="none"/>
                <w:u w:val="none"/>
                <w:lang w:val="en-US" w:eastAsia="zh-CN" w:bidi="ar"/>
              </w:rPr>
            </w:pPr>
            <w:r>
              <w:rPr>
                <w:rFonts w:hint="eastAsia" w:ascii="Times New Roman" w:hAnsi="Times New Roman" w:eastAsia="宋体" w:cs="Times New Roman"/>
                <w:b w:val="0"/>
                <w:bCs w:val="0"/>
                <w:i w:val="0"/>
                <w:iCs w:val="0"/>
                <w:color w:val="auto"/>
                <w:kern w:val="0"/>
                <w:sz w:val="21"/>
                <w:szCs w:val="21"/>
                <w:highlight w:val="none"/>
                <w:u w:val="none"/>
                <w:lang w:val="en-US" w:eastAsia="zh-CN" w:bidi="ar"/>
              </w:rPr>
              <w:t>获批年份</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95"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1</w:t>
            </w:r>
          </w:p>
        </w:tc>
        <w:tc>
          <w:tcPr>
            <w:tcW w:w="3064" w:type="dxa"/>
            <w:vMerge w:val="restar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省一流</w:t>
            </w:r>
            <w:r>
              <w:rPr>
                <w:rFonts w:hint="eastAsia" w:ascii="Times New Roman" w:hAnsi="Times New Roman" w:eastAsia="宋体" w:cs="Times New Roman"/>
                <w:i w:val="0"/>
                <w:iCs w:val="0"/>
                <w:color w:val="auto"/>
                <w:kern w:val="0"/>
                <w:sz w:val="21"/>
                <w:szCs w:val="21"/>
                <w:highlight w:val="none"/>
                <w:u w:val="none"/>
                <w:lang w:val="en-US" w:eastAsia="zh-CN" w:bidi="ar"/>
              </w:rPr>
              <w:t>本科</w:t>
            </w:r>
            <w:r>
              <w:rPr>
                <w:rFonts w:hint="default" w:ascii="Times New Roman" w:hAnsi="Times New Roman" w:eastAsia="宋体" w:cs="Times New Roman"/>
                <w:i w:val="0"/>
                <w:iCs w:val="0"/>
                <w:color w:val="auto"/>
                <w:kern w:val="0"/>
                <w:sz w:val="21"/>
                <w:szCs w:val="21"/>
                <w:highlight w:val="none"/>
                <w:u w:val="none"/>
                <w:lang w:val="en-US" w:eastAsia="zh-CN" w:bidi="ar"/>
              </w:rPr>
              <w:t>专业建设点</w:t>
            </w: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国际经济与贸易</w:t>
            </w:r>
          </w:p>
        </w:tc>
        <w:tc>
          <w:tcPr>
            <w:tcW w:w="1650" w:type="dxa"/>
            <w:tcBorders>
              <w:tl2br w:val="nil"/>
              <w:tr2bl w:val="nil"/>
            </w:tcBorders>
            <w:noWrap w:val="0"/>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2022</w:t>
            </w:r>
            <w:r>
              <w:rPr>
                <w:rFonts w:hint="default"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95"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视觉传达设计</w:t>
            </w:r>
          </w:p>
        </w:tc>
        <w:tc>
          <w:tcPr>
            <w:tcW w:w="1650" w:type="dxa"/>
            <w:tcBorders>
              <w:tl2br w:val="nil"/>
              <w:tr2bl w:val="nil"/>
            </w:tcBorders>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highlight w:val="none"/>
                <w:lang w:val="en-US" w:eastAsia="zh-CN"/>
              </w:rPr>
            </w:pPr>
            <w:r>
              <w:rPr>
                <w:rFonts w:hint="default" w:ascii="Times New Roman" w:hAnsi="Times New Roman" w:eastAsia="仿宋_GB2312" w:cs="Times New Roman"/>
                <w:i w:val="0"/>
                <w:iCs w:val="0"/>
                <w:color w:val="000000"/>
                <w:kern w:val="0"/>
                <w:sz w:val="21"/>
                <w:szCs w:val="21"/>
                <w:u w:val="none"/>
                <w:lang w:val="en-US" w:eastAsia="zh-CN" w:bidi="ar"/>
              </w:rPr>
              <w:t>2022</w:t>
            </w:r>
            <w:r>
              <w:rPr>
                <w:rFonts w:hint="default"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95"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3</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电子信息工程</w:t>
            </w:r>
          </w:p>
        </w:tc>
        <w:tc>
          <w:tcPr>
            <w:tcW w:w="1650" w:type="dxa"/>
            <w:tcBorders>
              <w:tl2br w:val="nil"/>
              <w:tr2bl w:val="nil"/>
            </w:tcBorders>
            <w:noWrap w:val="0"/>
            <w:vAlign w:val="center"/>
          </w:tcPr>
          <w:p>
            <w:pPr>
              <w:keepNext w:val="0"/>
              <w:keepLines w:val="0"/>
              <w:widowControl/>
              <w:suppressLineNumbers w:val="0"/>
              <w:jc w:val="center"/>
              <w:textAlignment w:val="center"/>
              <w:rPr>
                <w:rFonts w:hint="eastAsia"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2021</w:t>
            </w:r>
            <w:r>
              <w:rPr>
                <w:rFonts w:hint="eastAsia"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88"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4</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材料化学</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2019</w:t>
            </w:r>
            <w:r>
              <w:rPr>
                <w:rFonts w:hint="eastAsia"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5</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电气工程及其自动化</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2019</w:t>
            </w:r>
            <w:r>
              <w:rPr>
                <w:rFonts w:hint="eastAsia"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52"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6</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电子商务</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2019</w:t>
            </w:r>
            <w:r>
              <w:rPr>
                <w:rFonts w:hint="eastAsia"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75"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eastAsia"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7</w:t>
            </w:r>
          </w:p>
        </w:tc>
        <w:tc>
          <w:tcPr>
            <w:tcW w:w="3064" w:type="dxa"/>
            <w:vMerge w:val="restart"/>
            <w:tcBorders>
              <w:tl2br w:val="nil"/>
              <w:tr2bl w:val="nil"/>
            </w:tcBorders>
            <w:noWrap w:val="0"/>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省</w:t>
            </w:r>
            <w:r>
              <w:rPr>
                <w:rFonts w:hint="eastAsia" w:ascii="Times New Roman" w:hAnsi="Times New Roman" w:eastAsia="宋体" w:cs="Times New Roman"/>
                <w:i w:val="0"/>
                <w:iCs w:val="0"/>
                <w:color w:val="auto"/>
                <w:kern w:val="0"/>
                <w:sz w:val="21"/>
                <w:szCs w:val="21"/>
                <w:highlight w:val="none"/>
                <w:u w:val="none"/>
                <w:lang w:val="en-US" w:eastAsia="zh-CN" w:bidi="ar"/>
              </w:rPr>
              <w:t>“十三五”</w:t>
            </w:r>
            <w:r>
              <w:rPr>
                <w:rFonts w:hint="default" w:ascii="Times New Roman" w:hAnsi="Times New Roman" w:eastAsia="宋体" w:cs="Times New Roman"/>
                <w:i w:val="0"/>
                <w:iCs w:val="0"/>
                <w:color w:val="auto"/>
                <w:kern w:val="0"/>
                <w:sz w:val="21"/>
                <w:szCs w:val="21"/>
                <w:highlight w:val="none"/>
                <w:u w:val="none"/>
                <w:lang w:val="en-US" w:eastAsia="zh-CN" w:bidi="ar"/>
              </w:rPr>
              <w:t>特色专业</w:t>
            </w: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护理学</w:t>
            </w:r>
          </w:p>
        </w:tc>
        <w:tc>
          <w:tcPr>
            <w:tcW w:w="1650" w:type="dxa"/>
            <w:tcBorders>
              <w:tl2br w:val="nil"/>
              <w:tr2bl w:val="nil"/>
            </w:tcBorders>
            <w:noWrap w:val="0"/>
            <w:vAlign w:val="center"/>
          </w:tcPr>
          <w:p>
            <w:pPr>
              <w:keepNext w:val="0"/>
              <w:keepLines w:val="0"/>
              <w:widowControl/>
              <w:suppressLineNumbers w:val="0"/>
              <w:jc w:val="center"/>
              <w:textAlignment w:val="center"/>
              <w:rPr>
                <w:rFonts w:hint="eastAsia"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2017</w:t>
            </w:r>
            <w:r>
              <w:rPr>
                <w:rFonts w:hint="eastAsia"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75"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eastAsia"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8</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光电信息科学与工程</w:t>
            </w:r>
          </w:p>
        </w:tc>
        <w:tc>
          <w:tcPr>
            <w:tcW w:w="1650" w:type="dxa"/>
            <w:tcBorders>
              <w:tl2br w:val="nil"/>
              <w:tr2bl w:val="nil"/>
            </w:tcBorders>
            <w:noWrap w:val="0"/>
            <w:vAlign w:val="center"/>
          </w:tcPr>
          <w:p>
            <w:pPr>
              <w:keepNext w:val="0"/>
              <w:keepLines w:val="0"/>
              <w:widowControl/>
              <w:suppressLineNumbers w:val="0"/>
              <w:jc w:val="center"/>
              <w:textAlignment w:val="center"/>
              <w:rPr>
                <w:rFonts w:hint="eastAsia"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2017</w:t>
            </w:r>
            <w:r>
              <w:rPr>
                <w:rFonts w:hint="eastAsia"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75"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9</w:t>
            </w:r>
          </w:p>
        </w:tc>
        <w:tc>
          <w:tcPr>
            <w:tcW w:w="3064" w:type="dxa"/>
            <w:vMerge w:val="restar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省</w:t>
            </w:r>
            <w:r>
              <w:rPr>
                <w:rFonts w:hint="eastAsia" w:ascii="Times New Roman" w:hAnsi="Times New Roman" w:eastAsia="宋体" w:cs="Times New Roman"/>
                <w:i w:val="0"/>
                <w:iCs w:val="0"/>
                <w:color w:val="auto"/>
                <w:kern w:val="0"/>
                <w:sz w:val="21"/>
                <w:szCs w:val="21"/>
                <w:highlight w:val="none"/>
                <w:u w:val="none"/>
                <w:lang w:val="en-US" w:eastAsia="zh-CN" w:bidi="ar"/>
              </w:rPr>
              <w:t>“十二五”</w:t>
            </w:r>
            <w:r>
              <w:rPr>
                <w:rFonts w:hint="default" w:ascii="Times New Roman" w:hAnsi="Times New Roman" w:eastAsia="宋体" w:cs="Times New Roman"/>
                <w:i w:val="0"/>
                <w:iCs w:val="0"/>
                <w:color w:val="auto"/>
                <w:kern w:val="0"/>
                <w:sz w:val="21"/>
                <w:szCs w:val="21"/>
                <w:highlight w:val="none"/>
                <w:u w:val="none"/>
                <w:lang w:val="en-US" w:eastAsia="zh-CN" w:bidi="ar"/>
              </w:rPr>
              <w:t>新兴特色专业</w:t>
            </w: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电子信息工程</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2014</w:t>
            </w:r>
            <w:r>
              <w:rPr>
                <w:rFonts w:hint="eastAsia"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63"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10</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电气工程及其自动化</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2014</w:t>
            </w:r>
            <w:r>
              <w:rPr>
                <w:rFonts w:hint="eastAsia"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98"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11</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材料化学</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2014</w:t>
            </w:r>
            <w:r>
              <w:rPr>
                <w:rFonts w:hint="eastAsia"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10"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12</w:t>
            </w:r>
          </w:p>
        </w:tc>
        <w:tc>
          <w:tcPr>
            <w:tcW w:w="3064"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省级重点专业</w:t>
            </w: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生物工程</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2009</w:t>
            </w:r>
            <w:r>
              <w:rPr>
                <w:rFonts w:hint="eastAsia"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52"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13</w:t>
            </w:r>
          </w:p>
        </w:tc>
        <w:tc>
          <w:tcPr>
            <w:tcW w:w="3064" w:type="dxa"/>
            <w:vMerge w:val="restar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湖州市“十四五”一流专业</w:t>
            </w: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机械设计制造及其自动化</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2023</w:t>
            </w:r>
            <w:r>
              <w:rPr>
                <w:rFonts w:hint="default"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52"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14</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计算机科学与技术</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2023</w:t>
            </w:r>
            <w:r>
              <w:rPr>
                <w:rFonts w:hint="default"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52"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15</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护理学</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2023</w:t>
            </w:r>
            <w:r>
              <w:rPr>
                <w:rFonts w:hint="default"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52"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16</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经济与金融</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2023</w:t>
            </w:r>
            <w:r>
              <w:rPr>
                <w:rFonts w:hint="default"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52"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17</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环境设计</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2023</w:t>
            </w:r>
            <w:r>
              <w:rPr>
                <w:rFonts w:hint="default"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52"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18</w:t>
            </w:r>
          </w:p>
        </w:tc>
        <w:tc>
          <w:tcPr>
            <w:tcW w:w="3064" w:type="dxa"/>
            <w:vMerge w:val="restar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湖州市重点专业</w:t>
            </w:r>
          </w:p>
        </w:tc>
        <w:tc>
          <w:tcPr>
            <w:tcW w:w="3015" w:type="dxa"/>
            <w:tcBorders>
              <w:tl2br w:val="nil"/>
              <w:tr2bl w:val="nil"/>
            </w:tcBorders>
            <w:noWrap w:val="0"/>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电子商务</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2017</w:t>
            </w:r>
            <w:r>
              <w:rPr>
                <w:rFonts w:hint="eastAsia"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52"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19</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行政管理</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2017</w:t>
            </w:r>
            <w:r>
              <w:rPr>
                <w:rFonts w:hint="eastAsia"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52"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20</w:t>
            </w:r>
          </w:p>
        </w:tc>
        <w:tc>
          <w:tcPr>
            <w:tcW w:w="3064" w:type="dxa"/>
            <w:vMerge w:val="restar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校一流专业培育项目</w:t>
            </w: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视觉传达设计</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2021</w:t>
            </w:r>
            <w:r>
              <w:rPr>
                <w:rFonts w:hint="default"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75"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21</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国际经济与贸易</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2021</w:t>
            </w:r>
            <w:r>
              <w:rPr>
                <w:rFonts w:hint="default"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52"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22</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物流管理</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2021</w:t>
            </w:r>
            <w:r>
              <w:rPr>
                <w:rFonts w:hint="default"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52"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23</w:t>
            </w:r>
          </w:p>
        </w:tc>
        <w:tc>
          <w:tcPr>
            <w:tcW w:w="3064" w:type="dxa"/>
            <w:vMerge w:val="restart"/>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校级一流本科专业建设点</w:t>
            </w:r>
          </w:p>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光电信息科学与工程</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2024</w:t>
            </w:r>
            <w:r>
              <w:rPr>
                <w:rFonts w:hint="eastAsia"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52"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24</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制药工程</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2024</w:t>
            </w:r>
            <w:r>
              <w:rPr>
                <w:rFonts w:hint="eastAsia" w:ascii="Times New Roman" w:hAnsi="Times New Roman" w:eastAsia="宋体" w:cs="Times New Roman"/>
                <w:i w:val="0"/>
                <w:iCs w:val="0"/>
                <w:color w:val="auto"/>
                <w:kern w:val="0"/>
                <w:sz w:val="21"/>
                <w:szCs w:val="21"/>
                <w:highlight w:val="none"/>
                <w:u w:val="none"/>
                <w:lang w:val="en-US" w:eastAsia="zh-CN" w:bidi="ar"/>
              </w:rPr>
              <w:t>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152" w:hRule="atLeast"/>
          <w:jc w:val="center"/>
        </w:trPr>
        <w:tc>
          <w:tcPr>
            <w:tcW w:w="67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25</w:t>
            </w:r>
          </w:p>
        </w:tc>
        <w:tc>
          <w:tcPr>
            <w:tcW w:w="3064" w:type="dxa"/>
            <w:vMerge w:val="continue"/>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l2br w:val="nil"/>
              <w:tr2bl w:val="nil"/>
            </w:tcBorders>
            <w:noWrap w:val="0"/>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英语</w:t>
            </w:r>
          </w:p>
        </w:tc>
        <w:tc>
          <w:tcPr>
            <w:tcW w:w="1650"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2024</w:t>
            </w:r>
            <w:r>
              <w:rPr>
                <w:rFonts w:hint="eastAsia" w:ascii="Times New Roman" w:hAnsi="Times New Roman" w:eastAsia="宋体" w:cs="Times New Roman"/>
                <w:i w:val="0"/>
                <w:iCs w:val="0"/>
                <w:color w:val="auto"/>
                <w:kern w:val="0"/>
                <w:sz w:val="21"/>
                <w:szCs w:val="21"/>
                <w:highlight w:val="none"/>
                <w:u w:val="none"/>
                <w:lang w:val="en-US" w:eastAsia="zh-CN" w:bidi="ar"/>
              </w:rPr>
              <w:t>年</w:t>
            </w:r>
          </w:p>
        </w:tc>
      </w:tr>
    </w:tbl>
    <w:p>
      <w:pPr>
        <w:keepNext w:val="0"/>
        <w:keepLines w:val="0"/>
        <w:pageBreakBefore w:val="0"/>
        <w:widowControl w:val="0"/>
        <w:kinsoku/>
        <w:wordWrap/>
        <w:overflowPunct/>
        <w:topLinePunct w:val="0"/>
        <w:autoSpaceDE/>
        <w:autoSpaceDN/>
        <w:bidi w:val="0"/>
        <w:adjustRightInd/>
        <w:snapToGrid/>
        <w:spacing w:line="400" w:lineRule="exact"/>
        <w:textAlignment w:val="auto"/>
        <w:outlineLvl w:val="1"/>
        <w:rPr>
          <w:rFonts w:hint="eastAsia" w:ascii="Times New Roman" w:hAnsi="Times New Roman" w:eastAsia="黑体" w:cs="Times New Roman"/>
          <w:color w:val="auto"/>
          <w:sz w:val="28"/>
          <w:szCs w:val="28"/>
        </w:rPr>
      </w:pP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1"/>
        <w:rPr>
          <w:rFonts w:hint="eastAsia" w:asciiTheme="minorEastAsia" w:hAnsiTheme="minorEastAsia" w:eastAsiaTheme="minorEastAsia" w:cstheme="minorEastAsia"/>
          <w:sz w:val="24"/>
          <w:szCs w:val="24"/>
        </w:rPr>
      </w:pPr>
      <w:bookmarkStart w:id="32" w:name="_Toc29226"/>
      <w:r>
        <w:rPr>
          <w:rFonts w:hint="eastAsia" w:ascii="Times New Roman" w:hAnsi="Times New Roman" w:eastAsia="黑体" w:cs="Times New Roman"/>
          <w:color w:val="auto"/>
          <w:sz w:val="28"/>
          <w:szCs w:val="28"/>
        </w:rPr>
        <w:t>（二）课程建设</w:t>
      </w:r>
      <w:bookmarkEnd w:id="32"/>
    </w:p>
    <w:p>
      <w:pPr>
        <w:widowControl/>
        <w:jc w:val="both"/>
        <w:outlineLvl w:val="2"/>
        <w:rPr>
          <w:rFonts w:hint="eastAsia" w:ascii="Times New Roman" w:hAnsi="Times New Roman" w:eastAsia="黑体" w:cs="Times New Roman"/>
          <w:color w:val="auto"/>
          <w:kern w:val="0"/>
          <w:sz w:val="24"/>
          <w:lang w:val="en-US" w:eastAsia="zh-CN" w:bidi="ar"/>
        </w:rPr>
      </w:pPr>
      <w:r>
        <w:rPr>
          <w:rFonts w:hint="eastAsia" w:ascii="Times New Roman" w:hAnsi="Times New Roman" w:eastAsia="黑体" w:cs="Times New Roman"/>
          <w:color w:val="auto"/>
          <w:kern w:val="0"/>
          <w:sz w:val="24"/>
          <w:lang w:val="en-US" w:eastAsia="zh-CN" w:bidi="ar"/>
        </w:rPr>
        <w:t>1.本科课程开设情况</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heme="minorEastAsia" w:hAnsiTheme="minorEastAsia" w:eastAsiaTheme="minorEastAsia" w:cstheme="minorEastAsia"/>
          <w:sz w:val="24"/>
          <w:szCs w:val="24"/>
          <w:highlight w:val="none"/>
          <w:lang w:val="en-US" w:eastAsia="zh-CN"/>
        </w:rPr>
      </w:pPr>
      <w:r>
        <w:rPr>
          <w:rFonts w:hint="default" w:asciiTheme="minorEastAsia" w:hAnsiTheme="minorEastAsia" w:eastAsiaTheme="minorEastAsia" w:cstheme="minorEastAsia"/>
          <w:sz w:val="24"/>
          <w:szCs w:val="24"/>
          <w:highlight w:val="none"/>
          <w:lang w:val="en-US" w:eastAsia="zh-CN"/>
        </w:rPr>
        <w:t>202</w:t>
      </w:r>
      <w:r>
        <w:rPr>
          <w:rFonts w:hint="eastAsia" w:asciiTheme="minorEastAsia" w:hAnsiTheme="minorEastAsia" w:eastAsiaTheme="minorEastAsia" w:cstheme="minorEastAsia"/>
          <w:sz w:val="24"/>
          <w:szCs w:val="24"/>
          <w:highlight w:val="none"/>
          <w:lang w:val="en-US" w:eastAsia="zh-CN"/>
        </w:rPr>
        <w:t>3</w:t>
      </w:r>
      <w:r>
        <w:rPr>
          <w:rFonts w:hint="default" w:asciiTheme="minorEastAsia" w:hAnsiTheme="minorEastAsia" w:eastAsiaTheme="minorEastAsia" w:cstheme="minorEastAsia"/>
          <w:sz w:val="24"/>
          <w:szCs w:val="24"/>
          <w:highlight w:val="none"/>
          <w:lang w:val="en-US" w:eastAsia="zh-CN"/>
        </w:rPr>
        <w:t>-202</w:t>
      </w:r>
      <w:r>
        <w:rPr>
          <w:rFonts w:hint="eastAsia" w:asciiTheme="minorEastAsia" w:hAnsiTheme="minorEastAsia" w:eastAsiaTheme="minorEastAsia" w:cstheme="minorEastAsia"/>
          <w:sz w:val="24"/>
          <w:szCs w:val="24"/>
          <w:highlight w:val="none"/>
          <w:lang w:val="en-US" w:eastAsia="zh-CN"/>
        </w:rPr>
        <w:t>4</w:t>
      </w:r>
      <w:r>
        <w:rPr>
          <w:rFonts w:hint="default" w:asciiTheme="minorEastAsia" w:hAnsiTheme="minorEastAsia" w:eastAsiaTheme="minorEastAsia" w:cstheme="minorEastAsia"/>
          <w:sz w:val="24"/>
          <w:szCs w:val="24"/>
          <w:highlight w:val="none"/>
          <w:lang w:val="en-US" w:eastAsia="zh-CN"/>
        </w:rPr>
        <w:t>学年学校</w:t>
      </w:r>
      <w:r>
        <w:rPr>
          <w:rFonts w:hint="eastAsia" w:asciiTheme="minorEastAsia" w:hAnsiTheme="minorEastAsia" w:eastAsiaTheme="minorEastAsia" w:cstheme="minorEastAsia"/>
          <w:sz w:val="24"/>
          <w:szCs w:val="24"/>
          <w:highlight w:val="none"/>
          <w:lang w:val="en-US" w:eastAsia="zh-CN"/>
        </w:rPr>
        <w:t>共</w:t>
      </w:r>
      <w:r>
        <w:rPr>
          <w:rFonts w:hint="default" w:asciiTheme="minorEastAsia" w:hAnsiTheme="minorEastAsia" w:eastAsiaTheme="minorEastAsia" w:cstheme="minorEastAsia"/>
          <w:sz w:val="24"/>
          <w:szCs w:val="24"/>
          <w:highlight w:val="none"/>
          <w:lang w:val="en-US" w:eastAsia="zh-CN"/>
        </w:rPr>
        <w:t>开设课程11</w:t>
      </w:r>
      <w:r>
        <w:rPr>
          <w:rFonts w:hint="eastAsia" w:asciiTheme="minorEastAsia" w:hAnsiTheme="minorEastAsia" w:eastAsiaTheme="minorEastAsia" w:cstheme="minorEastAsia"/>
          <w:sz w:val="24"/>
          <w:szCs w:val="24"/>
          <w:highlight w:val="none"/>
          <w:lang w:val="en-US" w:eastAsia="zh-CN"/>
        </w:rPr>
        <w:t>82</w:t>
      </w:r>
      <w:r>
        <w:rPr>
          <w:rFonts w:hint="default" w:asciiTheme="minorEastAsia" w:hAnsiTheme="minorEastAsia" w:eastAsiaTheme="minorEastAsia" w:cstheme="minorEastAsia"/>
          <w:sz w:val="24"/>
          <w:szCs w:val="24"/>
          <w:highlight w:val="none"/>
          <w:lang w:val="en-US" w:eastAsia="zh-CN"/>
        </w:rPr>
        <w:t>门，总门次</w:t>
      </w:r>
      <w:r>
        <w:rPr>
          <w:rFonts w:hint="eastAsia" w:asciiTheme="minorEastAsia" w:hAnsiTheme="minorEastAsia" w:eastAsiaTheme="minorEastAsia" w:cstheme="minorEastAsia"/>
          <w:sz w:val="24"/>
          <w:szCs w:val="24"/>
          <w:highlight w:val="none"/>
          <w:lang w:val="en-US" w:eastAsia="zh-CN"/>
        </w:rPr>
        <w:t>数达</w:t>
      </w:r>
      <w:r>
        <w:rPr>
          <w:rFonts w:hint="default" w:asciiTheme="minorEastAsia" w:hAnsiTheme="minorEastAsia" w:eastAsiaTheme="minorEastAsia" w:cstheme="minorEastAsia"/>
          <w:sz w:val="24"/>
          <w:szCs w:val="24"/>
          <w:highlight w:val="none"/>
          <w:lang w:val="en-US" w:eastAsia="zh-CN"/>
        </w:rPr>
        <w:t>3</w:t>
      </w:r>
      <w:r>
        <w:rPr>
          <w:rFonts w:hint="eastAsia" w:asciiTheme="minorEastAsia" w:hAnsiTheme="minorEastAsia" w:eastAsiaTheme="minorEastAsia" w:cstheme="minorEastAsia"/>
          <w:sz w:val="24"/>
          <w:szCs w:val="24"/>
          <w:highlight w:val="none"/>
          <w:lang w:val="en-US" w:eastAsia="zh-CN"/>
        </w:rPr>
        <w:t>303；</w:t>
      </w:r>
      <w:r>
        <w:rPr>
          <w:rFonts w:hint="default" w:asciiTheme="minorEastAsia" w:hAnsiTheme="minorEastAsia" w:eastAsiaTheme="minorEastAsia" w:cstheme="minorEastAsia"/>
          <w:sz w:val="24"/>
          <w:szCs w:val="24"/>
          <w:highlight w:val="none"/>
          <w:lang w:val="en-US" w:eastAsia="zh-CN"/>
        </w:rPr>
        <w:t>选修</w:t>
      </w:r>
      <w:r>
        <w:rPr>
          <w:rFonts w:hint="eastAsia" w:asciiTheme="minorEastAsia" w:hAnsiTheme="minorEastAsia" w:eastAsiaTheme="minorEastAsia" w:cstheme="minorEastAsia"/>
          <w:sz w:val="24"/>
          <w:szCs w:val="24"/>
          <w:highlight w:val="none"/>
          <w:lang w:val="en-US" w:eastAsia="zh-CN"/>
        </w:rPr>
        <w:t>课程</w:t>
      </w:r>
      <w:r>
        <w:rPr>
          <w:rFonts w:hint="default" w:asciiTheme="minorEastAsia" w:hAnsiTheme="minorEastAsia" w:eastAsiaTheme="minorEastAsia" w:cstheme="minorEastAsia"/>
          <w:sz w:val="24"/>
          <w:szCs w:val="24"/>
          <w:highlight w:val="none"/>
          <w:lang w:val="en-US" w:eastAsia="zh-CN"/>
        </w:rPr>
        <w:t>学分占总学分比例为</w:t>
      </w:r>
      <w:r>
        <w:rPr>
          <w:rFonts w:hint="eastAsia" w:asciiTheme="minorEastAsia" w:hAnsiTheme="minorEastAsia" w:eastAsiaTheme="minorEastAsia" w:cstheme="minorEastAsia"/>
          <w:sz w:val="24"/>
          <w:szCs w:val="24"/>
          <w:highlight w:val="none"/>
          <w:lang w:val="en-US" w:eastAsia="zh-CN"/>
        </w:rPr>
        <w:t>30.14</w:t>
      </w:r>
      <w:r>
        <w:rPr>
          <w:rFonts w:hint="default" w:asciiTheme="minorEastAsia" w:hAnsiTheme="minorEastAsia" w:eastAsiaTheme="minorEastAsia" w:cstheme="minorEastAsia"/>
          <w:sz w:val="24"/>
          <w:szCs w:val="24"/>
          <w:highlight w:val="none"/>
          <w:lang w:val="en-US" w:eastAsia="zh-CN"/>
        </w:rPr>
        <w:t>%</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实践教学学分占总学分比例为</w:t>
      </w:r>
      <w:r>
        <w:rPr>
          <w:rFonts w:hint="eastAsia" w:asciiTheme="minorEastAsia" w:hAnsiTheme="minorEastAsia" w:eastAsiaTheme="minorEastAsia" w:cstheme="minorEastAsia"/>
          <w:sz w:val="24"/>
          <w:szCs w:val="24"/>
          <w:highlight w:val="none"/>
          <w:lang w:val="en-US" w:eastAsia="zh-CN"/>
        </w:rPr>
        <w:t>36.63</w:t>
      </w:r>
      <w:r>
        <w:rPr>
          <w:rFonts w:hint="default" w:asciiTheme="minorEastAsia" w:hAnsiTheme="minorEastAsia" w:eastAsiaTheme="minorEastAsia" w:cstheme="minorEastAsia"/>
          <w:sz w:val="24"/>
          <w:szCs w:val="24"/>
          <w:highlight w:val="none"/>
          <w:lang w:val="en-US" w:eastAsia="zh-CN"/>
        </w:rPr>
        <w:t>%。学校对于招生规模比较大的专业，基础课采用大班教学，规模一般为90人；专业课教学</w:t>
      </w:r>
      <w:r>
        <w:rPr>
          <w:rFonts w:hint="eastAsia" w:asciiTheme="minorEastAsia" w:hAnsiTheme="minorEastAsia" w:eastAsiaTheme="minorEastAsia" w:cstheme="minorEastAsia"/>
          <w:sz w:val="24"/>
          <w:szCs w:val="24"/>
          <w:highlight w:val="none"/>
          <w:lang w:val="en-US" w:eastAsia="zh-CN"/>
        </w:rPr>
        <w:t>班</w:t>
      </w:r>
      <w:r>
        <w:rPr>
          <w:rFonts w:hint="default" w:asciiTheme="minorEastAsia" w:hAnsiTheme="minorEastAsia" w:eastAsiaTheme="minorEastAsia" w:cstheme="minorEastAsia"/>
          <w:sz w:val="24"/>
          <w:szCs w:val="24"/>
          <w:highlight w:val="none"/>
          <w:lang w:val="en-US" w:eastAsia="zh-CN"/>
        </w:rPr>
        <w:t>规模一般为45人</w:t>
      </w:r>
      <w:r>
        <w:rPr>
          <w:rFonts w:hint="eastAsia" w:asciiTheme="minorEastAsia" w:hAnsiTheme="minorEastAsia" w:eastAsiaTheme="minorEastAsia" w:cstheme="minorEastAsia"/>
          <w:sz w:val="24"/>
          <w:szCs w:val="24"/>
          <w:highlight w:val="none"/>
          <w:lang w:val="en-US" w:eastAsia="zh-CN"/>
        </w:rPr>
        <w:t>；外语类和实践实验性课程多采用小班化教学，规模一般为30人以下</w:t>
      </w:r>
      <w:r>
        <w:rPr>
          <w:rFonts w:hint="default" w:asciiTheme="minorEastAsia" w:hAnsiTheme="minorEastAsia" w:eastAsiaTheme="minorEastAsia" w:cstheme="minorEastAsia"/>
          <w:sz w:val="24"/>
          <w:szCs w:val="24"/>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heme="minorEastAsia" w:hAnsiTheme="minorEastAsia" w:eastAsiaTheme="minorEastAsia" w:cstheme="minorEastAsia"/>
          <w:sz w:val="24"/>
          <w:szCs w:val="24"/>
          <w:highlight w:val="none"/>
          <w:lang w:val="en-US" w:eastAsia="zh-CN"/>
        </w:rPr>
      </w:pPr>
      <w:r>
        <w:rPr>
          <w:rFonts w:hint="default" w:asciiTheme="minorEastAsia" w:hAnsiTheme="minorEastAsia" w:eastAsiaTheme="minorEastAsia" w:cstheme="minorEastAsia"/>
          <w:sz w:val="24"/>
          <w:szCs w:val="24"/>
          <w:highlight w:val="none"/>
          <w:lang w:val="en-US" w:eastAsia="zh-CN"/>
        </w:rPr>
        <w:t>为进一步丰富学校通识课程教学内容，变革传统课程修读模式，延展学生学业修读的有效时间，学校继续引进网络通识课程教学资源，包括超星尔雅平台资源和智慧树平台课程供学生选读</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本学年共计修读学生</w:t>
      </w:r>
      <w:r>
        <w:rPr>
          <w:rFonts w:hint="eastAsia" w:asciiTheme="minorEastAsia" w:hAnsiTheme="minorEastAsia" w:eastAsiaTheme="minorEastAsia" w:cstheme="minorEastAsia"/>
          <w:sz w:val="24"/>
          <w:szCs w:val="24"/>
          <w:highlight w:val="none"/>
          <w:lang w:val="en-US" w:eastAsia="zh-CN"/>
        </w:rPr>
        <w:t>4653</w:t>
      </w:r>
      <w:r>
        <w:rPr>
          <w:rFonts w:hint="default" w:asciiTheme="minorEastAsia" w:hAnsiTheme="minorEastAsia" w:eastAsiaTheme="minorEastAsia" w:cstheme="minorEastAsia"/>
          <w:sz w:val="24"/>
          <w:szCs w:val="24"/>
          <w:highlight w:val="none"/>
          <w:lang w:val="en-US" w:eastAsia="zh-CN"/>
        </w:rPr>
        <w:t>人次。202</w:t>
      </w:r>
      <w:r>
        <w:rPr>
          <w:rFonts w:hint="eastAsia" w:asciiTheme="minorEastAsia" w:hAnsiTheme="minorEastAsia" w:eastAsiaTheme="minorEastAsia" w:cstheme="minorEastAsia"/>
          <w:sz w:val="24"/>
          <w:szCs w:val="24"/>
          <w:highlight w:val="none"/>
          <w:lang w:val="en-US" w:eastAsia="zh-CN"/>
        </w:rPr>
        <w:t>3</w:t>
      </w:r>
      <w:r>
        <w:rPr>
          <w:rFonts w:hint="default" w:asciiTheme="minorEastAsia" w:hAnsiTheme="minorEastAsia" w:eastAsiaTheme="minorEastAsia" w:cstheme="minorEastAsia"/>
          <w:sz w:val="24"/>
          <w:szCs w:val="24"/>
          <w:highlight w:val="none"/>
          <w:lang w:val="en-US" w:eastAsia="zh-CN"/>
        </w:rPr>
        <w:t>-202</w:t>
      </w:r>
      <w:r>
        <w:rPr>
          <w:rFonts w:hint="eastAsia" w:asciiTheme="minorEastAsia" w:hAnsiTheme="minorEastAsia" w:eastAsiaTheme="minorEastAsia" w:cstheme="minorEastAsia"/>
          <w:sz w:val="24"/>
          <w:szCs w:val="24"/>
          <w:highlight w:val="none"/>
          <w:lang w:val="en-US" w:eastAsia="zh-CN"/>
        </w:rPr>
        <w:t>4</w:t>
      </w:r>
      <w:r>
        <w:rPr>
          <w:rFonts w:hint="default" w:asciiTheme="minorEastAsia" w:hAnsiTheme="minorEastAsia" w:eastAsiaTheme="minorEastAsia" w:cstheme="minorEastAsia"/>
          <w:sz w:val="24"/>
          <w:szCs w:val="24"/>
          <w:highlight w:val="none"/>
          <w:lang w:val="en-US" w:eastAsia="zh-CN"/>
        </w:rPr>
        <w:t>学年本科教学情况</w:t>
      </w:r>
      <w:r>
        <w:rPr>
          <w:rFonts w:hint="eastAsia" w:asciiTheme="minorEastAsia" w:hAnsiTheme="minorEastAsia" w:eastAsiaTheme="minorEastAsia" w:cstheme="minorEastAsia"/>
          <w:sz w:val="24"/>
          <w:szCs w:val="24"/>
          <w:highlight w:val="none"/>
          <w:lang w:val="en-US" w:eastAsia="zh-CN"/>
        </w:rPr>
        <w:t>见表4</w:t>
      </w:r>
      <w:r>
        <w:rPr>
          <w:rFonts w:hint="default" w:asciiTheme="minorEastAsia" w:hAnsiTheme="minorEastAsia" w:eastAsiaTheme="minorEastAsia" w:cstheme="minorEastAsia"/>
          <w:sz w:val="24"/>
          <w:szCs w:val="24"/>
          <w:highlight w:val="none"/>
          <w:lang w:val="en-US" w:eastAsia="zh-CN"/>
        </w:rPr>
        <w:t>。</w:t>
      </w:r>
    </w:p>
    <w:p>
      <w:pPr>
        <w:spacing w:line="400" w:lineRule="exact"/>
        <w:ind w:firstLine="422" w:firstLineChars="200"/>
        <w:jc w:val="center"/>
        <w:rPr>
          <w:rFonts w:hint="default" w:ascii="Times New Roman" w:hAnsi="Times New Roman" w:eastAsia="宋体" w:cs="Times New Roman"/>
          <w:b/>
          <w:bCs/>
          <w:color w:val="auto"/>
          <w:sz w:val="21"/>
          <w:szCs w:val="21"/>
          <w:highlight w:val="none"/>
          <w:lang w:val="en-US" w:eastAsia="zh-CN"/>
        </w:rPr>
      </w:pPr>
    </w:p>
    <w:p>
      <w:pPr>
        <w:spacing w:line="400" w:lineRule="exact"/>
        <w:ind w:firstLine="420" w:firstLineChars="200"/>
        <w:jc w:val="center"/>
        <w:rPr>
          <w:rFonts w:hint="default" w:ascii="Times New Roman" w:hAnsi="Times New Roman" w:eastAsia="宋体" w:cs="Times New Roman"/>
          <w:b w:val="0"/>
          <w:bCs w:val="0"/>
          <w:i w:val="0"/>
          <w:iCs w:val="0"/>
          <w:color w:val="auto"/>
          <w:sz w:val="21"/>
          <w:szCs w:val="21"/>
          <w:highlight w:val="none"/>
          <w:lang w:val="en-US" w:eastAsia="zh-CN"/>
        </w:rPr>
      </w:pPr>
      <w:r>
        <w:rPr>
          <w:rFonts w:hint="default" w:ascii="Times New Roman" w:hAnsi="Times New Roman" w:eastAsia="宋体" w:cs="Times New Roman"/>
          <w:b w:val="0"/>
          <w:bCs w:val="0"/>
          <w:i w:val="0"/>
          <w:iCs w:val="0"/>
          <w:color w:val="auto"/>
          <w:sz w:val="21"/>
          <w:szCs w:val="21"/>
          <w:highlight w:val="none"/>
          <w:lang w:val="en-US" w:eastAsia="zh-CN"/>
        </w:rPr>
        <w:t>表</w:t>
      </w:r>
      <w:r>
        <w:rPr>
          <w:rFonts w:hint="eastAsia" w:ascii="Times New Roman" w:hAnsi="Times New Roman" w:cs="Times New Roman"/>
          <w:b w:val="0"/>
          <w:bCs w:val="0"/>
          <w:i w:val="0"/>
          <w:iCs w:val="0"/>
          <w:color w:val="auto"/>
          <w:sz w:val="21"/>
          <w:szCs w:val="21"/>
          <w:highlight w:val="none"/>
          <w:lang w:val="en-US" w:eastAsia="zh-CN"/>
        </w:rPr>
        <w:t>4</w:t>
      </w:r>
      <w:r>
        <w:rPr>
          <w:rFonts w:hint="default" w:ascii="Times New Roman" w:hAnsi="Times New Roman" w:eastAsia="宋体" w:cs="Times New Roman"/>
          <w:b w:val="0"/>
          <w:bCs w:val="0"/>
          <w:i w:val="0"/>
          <w:iCs w:val="0"/>
          <w:color w:val="auto"/>
          <w:sz w:val="21"/>
          <w:szCs w:val="21"/>
          <w:highlight w:val="none"/>
          <w:lang w:val="en-US" w:eastAsia="zh-CN"/>
        </w:rPr>
        <w:t xml:space="preserve"> </w:t>
      </w:r>
      <w:r>
        <w:rPr>
          <w:rFonts w:hint="eastAsia" w:ascii="Times New Roman" w:hAnsi="Times New Roman" w:cs="Times New Roman"/>
          <w:b w:val="0"/>
          <w:bCs w:val="0"/>
          <w:i w:val="0"/>
          <w:iCs w:val="0"/>
          <w:color w:val="auto"/>
          <w:sz w:val="21"/>
          <w:szCs w:val="21"/>
          <w:highlight w:val="none"/>
          <w:lang w:val="en-US" w:eastAsia="zh-CN"/>
        </w:rPr>
        <w:t xml:space="preserve">  </w:t>
      </w:r>
      <w:r>
        <w:rPr>
          <w:rFonts w:hint="default" w:ascii="Times New Roman" w:hAnsi="Times New Roman" w:eastAsia="宋体" w:cs="Times New Roman"/>
          <w:b w:val="0"/>
          <w:bCs w:val="0"/>
          <w:i w:val="0"/>
          <w:iCs w:val="0"/>
          <w:color w:val="auto"/>
          <w:sz w:val="21"/>
          <w:szCs w:val="21"/>
          <w:highlight w:val="none"/>
          <w:lang w:val="en-US" w:eastAsia="zh-CN"/>
        </w:rPr>
        <w:t>202</w:t>
      </w:r>
      <w:r>
        <w:rPr>
          <w:rFonts w:hint="eastAsia" w:ascii="Times New Roman" w:hAnsi="Times New Roman" w:eastAsia="宋体" w:cs="Times New Roman"/>
          <w:b w:val="0"/>
          <w:bCs w:val="0"/>
          <w:i w:val="0"/>
          <w:iCs w:val="0"/>
          <w:color w:val="auto"/>
          <w:sz w:val="21"/>
          <w:szCs w:val="21"/>
          <w:highlight w:val="none"/>
          <w:lang w:val="en-US" w:eastAsia="zh-CN"/>
        </w:rPr>
        <w:t>3</w:t>
      </w:r>
      <w:r>
        <w:rPr>
          <w:rFonts w:hint="default" w:ascii="Times New Roman" w:hAnsi="Times New Roman" w:eastAsia="宋体" w:cs="Times New Roman"/>
          <w:b w:val="0"/>
          <w:bCs w:val="0"/>
          <w:i w:val="0"/>
          <w:iCs w:val="0"/>
          <w:color w:val="auto"/>
          <w:sz w:val="21"/>
          <w:szCs w:val="21"/>
          <w:highlight w:val="none"/>
          <w:lang w:val="en-US" w:eastAsia="zh-CN"/>
        </w:rPr>
        <w:t>-202</w:t>
      </w:r>
      <w:r>
        <w:rPr>
          <w:rFonts w:hint="eastAsia" w:ascii="Times New Roman" w:hAnsi="Times New Roman" w:eastAsia="宋体" w:cs="Times New Roman"/>
          <w:b w:val="0"/>
          <w:bCs w:val="0"/>
          <w:i w:val="0"/>
          <w:iCs w:val="0"/>
          <w:color w:val="auto"/>
          <w:sz w:val="21"/>
          <w:szCs w:val="21"/>
          <w:highlight w:val="none"/>
          <w:lang w:val="en-US" w:eastAsia="zh-CN"/>
        </w:rPr>
        <w:t>4</w:t>
      </w:r>
      <w:r>
        <w:rPr>
          <w:rFonts w:hint="default" w:ascii="Times New Roman" w:hAnsi="Times New Roman" w:eastAsia="宋体" w:cs="Times New Roman"/>
          <w:b w:val="0"/>
          <w:bCs w:val="0"/>
          <w:i w:val="0"/>
          <w:iCs w:val="0"/>
          <w:color w:val="auto"/>
          <w:sz w:val="21"/>
          <w:szCs w:val="21"/>
          <w:highlight w:val="none"/>
          <w:lang w:val="en-US" w:eastAsia="zh-CN"/>
        </w:rPr>
        <w:t>学年本科教学情况一览表</w:t>
      </w:r>
    </w:p>
    <w:tbl>
      <w:tblPr>
        <w:tblStyle w:val="13"/>
        <w:tblW w:w="8519"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311"/>
        <w:gridCol w:w="4208"/>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476" w:hRule="atLeast"/>
          <w:jc w:val="center"/>
        </w:trPr>
        <w:tc>
          <w:tcPr>
            <w:tcW w:w="4311" w:type="dxa"/>
            <w:tcBorders>
              <w:tl2br w:val="nil"/>
              <w:tr2bl w:val="nil"/>
            </w:tcBorders>
            <w:noWrap w:val="0"/>
            <w:vAlign w:val="center"/>
          </w:tcPr>
          <w:p>
            <w:pPr>
              <w:jc w:val="center"/>
              <w:rPr>
                <w:rFonts w:hint="default" w:ascii="Times New Roman" w:hAnsi="Times New Roman" w:eastAsia="宋体" w:cs="Times New Roman"/>
                <w:b w:val="0"/>
                <w:bCs w:val="0"/>
                <w:color w:val="auto"/>
                <w:szCs w:val="21"/>
                <w:highlight w:val="none"/>
              </w:rPr>
            </w:pPr>
            <w:r>
              <w:rPr>
                <w:rFonts w:hint="default" w:ascii="Times New Roman" w:hAnsi="Times New Roman" w:eastAsia="宋体" w:cs="Times New Roman"/>
                <w:b w:val="0"/>
                <w:bCs w:val="0"/>
                <w:color w:val="auto"/>
                <w:szCs w:val="21"/>
                <w:highlight w:val="none"/>
              </w:rPr>
              <w:t>课程教学基本指标</w:t>
            </w:r>
          </w:p>
        </w:tc>
        <w:tc>
          <w:tcPr>
            <w:tcW w:w="4208" w:type="dxa"/>
            <w:tcBorders>
              <w:tl2br w:val="nil"/>
              <w:tr2bl w:val="nil"/>
            </w:tcBorders>
            <w:noWrap w:val="0"/>
            <w:vAlign w:val="center"/>
          </w:tcPr>
          <w:p>
            <w:pPr>
              <w:jc w:val="center"/>
              <w:rPr>
                <w:rFonts w:hint="default" w:ascii="Times New Roman" w:hAnsi="Times New Roman" w:eastAsia="宋体" w:cs="Times New Roman"/>
                <w:b w:val="0"/>
                <w:bCs w:val="0"/>
                <w:color w:val="auto"/>
                <w:szCs w:val="21"/>
                <w:highlight w:val="none"/>
              </w:rPr>
            </w:pPr>
            <w:r>
              <w:rPr>
                <w:rFonts w:hint="default" w:ascii="Times New Roman" w:hAnsi="Times New Roman" w:eastAsia="宋体" w:cs="Times New Roman"/>
                <w:b w:val="0"/>
                <w:bCs w:val="0"/>
                <w:color w:val="auto"/>
                <w:szCs w:val="21"/>
                <w:highlight w:val="none"/>
              </w:rPr>
              <w:t>数据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4311" w:type="dxa"/>
            <w:tcBorders>
              <w:tl2br w:val="nil"/>
              <w:tr2bl w:val="nil"/>
            </w:tcBorders>
            <w:noWrap w:val="0"/>
            <w:vAlign w:val="center"/>
          </w:tcPr>
          <w:p>
            <w:pPr>
              <w:jc w:val="center"/>
              <w:rPr>
                <w:rFonts w:hint="default" w:ascii="Times New Roman" w:hAnsi="Times New Roman" w:eastAsia="宋体" w:cs="Times New Roman"/>
                <w:color w:val="auto"/>
                <w:szCs w:val="21"/>
                <w:highlight w:val="yellow"/>
              </w:rPr>
            </w:pPr>
            <w:r>
              <w:rPr>
                <w:rFonts w:hint="default" w:ascii="Times New Roman" w:hAnsi="Times New Roman" w:eastAsia="宋体" w:cs="Times New Roman"/>
                <w:color w:val="auto"/>
                <w:szCs w:val="21"/>
                <w:highlight w:val="none"/>
              </w:rPr>
              <w:t>全校开设课程总门数/总门次</w:t>
            </w:r>
          </w:p>
        </w:tc>
        <w:tc>
          <w:tcPr>
            <w:tcW w:w="4208"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1182</w:t>
            </w:r>
            <w:r>
              <w:rPr>
                <w:rFonts w:hint="default" w:ascii="Times New Roman" w:hAnsi="Times New Roman" w:eastAsia="仿宋_GB2312" w:cs="Times New Roman"/>
                <w:i w:val="0"/>
                <w:iCs w:val="0"/>
                <w:color w:val="000000"/>
                <w:kern w:val="0"/>
                <w:sz w:val="21"/>
                <w:szCs w:val="21"/>
                <w:u w:val="none"/>
                <w:lang w:val="en-US" w:eastAsia="zh-CN" w:bidi="ar"/>
              </w:rPr>
              <w:t>/</w:t>
            </w:r>
            <w:r>
              <w:rPr>
                <w:rFonts w:hint="eastAsia" w:ascii="Times New Roman" w:hAnsi="Times New Roman" w:eastAsia="仿宋_GB2312" w:cs="Times New Roman"/>
                <w:i w:val="0"/>
                <w:iCs w:val="0"/>
                <w:color w:val="000000"/>
                <w:kern w:val="0"/>
                <w:sz w:val="21"/>
                <w:szCs w:val="21"/>
                <w:u w:val="none"/>
                <w:lang w:val="en-US" w:eastAsia="zh-CN" w:bidi="ar"/>
              </w:rPr>
              <w:t>3303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4311" w:type="dxa"/>
            <w:tcBorders>
              <w:tl2br w:val="nil"/>
              <w:tr2bl w:val="nil"/>
            </w:tcBorders>
            <w:noWrap w:val="0"/>
            <w:vAlign w:val="center"/>
          </w:tcPr>
          <w:p>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选修课学分占总学分比例</w:t>
            </w:r>
          </w:p>
        </w:tc>
        <w:tc>
          <w:tcPr>
            <w:tcW w:w="4208"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30.14</w:t>
            </w:r>
            <w:r>
              <w:rPr>
                <w:rFonts w:hint="default" w:ascii="Times New Roman" w:hAnsi="Times New Roman" w:eastAsia="仿宋_GB2312" w:cs="Times New Roman"/>
                <w:i w:val="0"/>
                <w:iCs w:val="0"/>
                <w:color w:val="000000"/>
                <w:kern w:val="0"/>
                <w:sz w:val="21"/>
                <w:szCs w:val="21"/>
                <w:u w:val="none"/>
                <w:lang w:val="en-US" w:eastAsia="zh-CN" w:bidi="ar"/>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4311" w:type="dxa"/>
            <w:tcBorders>
              <w:tl2br w:val="nil"/>
              <w:tr2bl w:val="nil"/>
            </w:tcBorders>
            <w:noWrap w:val="0"/>
            <w:vAlign w:val="center"/>
          </w:tcPr>
          <w:p>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教授主讲的课程门次占比</w:t>
            </w:r>
          </w:p>
        </w:tc>
        <w:tc>
          <w:tcPr>
            <w:tcW w:w="4208"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ascii="Times New Roman" w:hAnsi="Times New Roman" w:eastAsia="仿宋_GB2312" w:cs="Times New Roman"/>
                <w:i w:val="0"/>
                <w:iCs w:val="0"/>
                <w:color w:val="000000"/>
                <w:kern w:val="0"/>
                <w:sz w:val="21"/>
                <w:szCs w:val="21"/>
                <w:u w:val="none"/>
                <w:lang w:val="en-US" w:eastAsia="zh-CN" w:bidi="ar"/>
              </w:rPr>
              <w:t>4.06</w:t>
            </w:r>
            <w:r>
              <w:rPr>
                <w:rFonts w:hint="default" w:ascii="Times New Roman" w:hAnsi="Times New Roman" w:eastAsia="仿宋_GB2312" w:cs="Times New Roman"/>
                <w:i w:val="0"/>
                <w:iCs w:val="0"/>
                <w:color w:val="000000"/>
                <w:kern w:val="0"/>
                <w:sz w:val="21"/>
                <w:szCs w:val="21"/>
                <w:u w:val="none"/>
                <w:lang w:val="en-US" w:eastAsia="zh-CN" w:bidi="ar"/>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4311" w:type="dxa"/>
            <w:tcBorders>
              <w:tl2br w:val="nil"/>
              <w:tr2bl w:val="nil"/>
            </w:tcBorders>
            <w:noWrap w:val="0"/>
            <w:vAlign w:val="center"/>
          </w:tcPr>
          <w:p>
            <w:pPr>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主讲本科课程的教授占教授总数的比例</w:t>
            </w:r>
          </w:p>
        </w:tc>
        <w:tc>
          <w:tcPr>
            <w:tcW w:w="4208"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100%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00" w:hRule="atLeast"/>
          <w:jc w:val="center"/>
        </w:trPr>
        <w:tc>
          <w:tcPr>
            <w:tcW w:w="4311" w:type="dxa"/>
            <w:tcBorders>
              <w:tl2br w:val="nil"/>
              <w:tr2bl w:val="nil"/>
            </w:tcBorders>
            <w:noWrap w:val="0"/>
            <w:vAlign w:val="center"/>
          </w:tcPr>
          <w:p>
            <w:pPr>
              <w:jc w:val="center"/>
              <w:rPr>
                <w:rFonts w:hint="default" w:ascii="Times New Roman" w:hAnsi="Times New Roman" w:eastAsia="宋体" w:cs="Times New Roman"/>
                <w:color w:val="auto"/>
                <w:szCs w:val="21"/>
                <w:highlight w:val="yellow"/>
              </w:rPr>
            </w:pPr>
            <w:r>
              <w:rPr>
                <w:rFonts w:hint="default" w:ascii="Times New Roman" w:hAnsi="Times New Roman" w:eastAsia="宋体" w:cs="Times New Roman"/>
                <w:color w:val="auto"/>
                <w:szCs w:val="21"/>
                <w:highlight w:val="none"/>
              </w:rPr>
              <w:t>班额比例（课堂教学规模）</w:t>
            </w:r>
          </w:p>
        </w:tc>
        <w:tc>
          <w:tcPr>
            <w:tcW w:w="4208"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30人以下：</w:t>
            </w:r>
            <w:r>
              <w:rPr>
                <w:rFonts w:hint="eastAsia" w:ascii="Times New Roman" w:hAnsi="Times New Roman" w:eastAsia="仿宋_GB2312" w:cs="Times New Roman"/>
                <w:i w:val="0"/>
                <w:iCs w:val="0"/>
                <w:color w:val="000000"/>
                <w:kern w:val="0"/>
                <w:sz w:val="21"/>
                <w:szCs w:val="21"/>
                <w:u w:val="none"/>
                <w:lang w:val="en-US" w:eastAsia="zh-CN" w:bidi="ar"/>
              </w:rPr>
              <w:t>10.81%（357）</w:t>
            </w:r>
          </w:p>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31人</w:t>
            </w:r>
            <w:r>
              <w:rPr>
                <w:rFonts w:hint="eastAsia" w:ascii="Times New Roman" w:hAnsi="Times New Roman" w:eastAsia="仿宋_GB2312" w:cs="Times New Roman"/>
                <w:i w:val="0"/>
                <w:iCs w:val="0"/>
                <w:color w:val="000000"/>
                <w:kern w:val="0"/>
                <w:sz w:val="21"/>
                <w:szCs w:val="21"/>
                <w:u w:val="none"/>
                <w:lang w:val="en-US" w:eastAsia="zh-CN" w:bidi="ar"/>
              </w:rPr>
              <w:t>—</w:t>
            </w:r>
            <w:r>
              <w:rPr>
                <w:rFonts w:hint="default" w:ascii="Times New Roman" w:hAnsi="Times New Roman" w:eastAsia="仿宋_GB2312" w:cs="Times New Roman"/>
                <w:i w:val="0"/>
                <w:iCs w:val="0"/>
                <w:color w:val="000000"/>
                <w:kern w:val="0"/>
                <w:sz w:val="21"/>
                <w:szCs w:val="21"/>
                <w:u w:val="none"/>
                <w:lang w:val="en-US" w:eastAsia="zh-CN" w:bidi="ar"/>
              </w:rPr>
              <w:t>60人：</w:t>
            </w:r>
            <w:r>
              <w:rPr>
                <w:rFonts w:hint="eastAsia" w:ascii="Times New Roman" w:hAnsi="Times New Roman" w:eastAsia="仿宋_GB2312" w:cs="Times New Roman"/>
                <w:i w:val="0"/>
                <w:iCs w:val="0"/>
                <w:color w:val="000000"/>
                <w:kern w:val="0"/>
                <w:sz w:val="21"/>
                <w:szCs w:val="21"/>
                <w:u w:val="none"/>
                <w:lang w:val="en-US" w:eastAsia="zh-CN" w:bidi="ar"/>
              </w:rPr>
              <w:t>67.57%（2232）</w:t>
            </w:r>
          </w:p>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61人</w:t>
            </w:r>
            <w:r>
              <w:rPr>
                <w:rFonts w:hint="eastAsia" w:ascii="Times New Roman" w:hAnsi="Times New Roman" w:eastAsia="仿宋_GB2312" w:cs="Times New Roman"/>
                <w:i w:val="0"/>
                <w:iCs w:val="0"/>
                <w:color w:val="000000"/>
                <w:kern w:val="0"/>
                <w:sz w:val="21"/>
                <w:szCs w:val="21"/>
                <w:u w:val="none"/>
                <w:lang w:val="en-US" w:eastAsia="zh-CN" w:bidi="ar"/>
              </w:rPr>
              <w:t>—</w:t>
            </w:r>
            <w:r>
              <w:rPr>
                <w:rFonts w:hint="default" w:ascii="Times New Roman" w:hAnsi="Times New Roman" w:eastAsia="仿宋_GB2312" w:cs="Times New Roman"/>
                <w:i w:val="0"/>
                <w:iCs w:val="0"/>
                <w:color w:val="000000"/>
                <w:kern w:val="0"/>
                <w:sz w:val="21"/>
                <w:szCs w:val="21"/>
                <w:u w:val="none"/>
                <w:lang w:val="en-US" w:eastAsia="zh-CN" w:bidi="ar"/>
              </w:rPr>
              <w:t>90人：</w:t>
            </w:r>
            <w:r>
              <w:rPr>
                <w:rFonts w:hint="eastAsia" w:ascii="Times New Roman" w:hAnsi="Times New Roman" w:eastAsia="仿宋_GB2312" w:cs="Times New Roman"/>
                <w:i w:val="0"/>
                <w:iCs w:val="0"/>
                <w:color w:val="000000"/>
                <w:kern w:val="0"/>
                <w:sz w:val="21"/>
                <w:szCs w:val="21"/>
                <w:u w:val="none"/>
                <w:lang w:val="en-US" w:eastAsia="zh-CN" w:bidi="ar"/>
              </w:rPr>
              <w:t>15.44%（510）</w:t>
            </w:r>
          </w:p>
          <w:p>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91人以上：</w:t>
            </w:r>
            <w:r>
              <w:rPr>
                <w:rFonts w:hint="eastAsia" w:ascii="Times New Roman" w:hAnsi="Times New Roman" w:eastAsia="仿宋_GB2312" w:cs="Times New Roman"/>
                <w:i w:val="0"/>
                <w:iCs w:val="0"/>
                <w:color w:val="000000"/>
                <w:kern w:val="0"/>
                <w:sz w:val="21"/>
                <w:szCs w:val="21"/>
                <w:u w:val="none"/>
                <w:lang w:val="en-US" w:eastAsia="zh-CN" w:bidi="ar"/>
              </w:rPr>
              <w:t>6.18%（204）</w:t>
            </w:r>
          </w:p>
        </w:tc>
      </w:tr>
    </w:tbl>
    <w:p>
      <w:pPr>
        <w:keepNext w:val="0"/>
        <w:keepLines w:val="0"/>
        <w:pageBreakBefore w:val="0"/>
        <w:widowControl/>
        <w:kinsoku/>
        <w:wordWrap/>
        <w:overflowPunct/>
        <w:topLinePunct w:val="0"/>
        <w:autoSpaceDE/>
        <w:autoSpaceDN/>
        <w:bidi w:val="0"/>
        <w:adjustRightInd/>
        <w:snapToGrid/>
        <w:spacing w:line="400" w:lineRule="exact"/>
        <w:jc w:val="both"/>
        <w:textAlignment w:val="auto"/>
        <w:rPr>
          <w:rFonts w:hint="default" w:ascii="Times New Roman" w:hAnsi="Times New Roman" w:eastAsia="黑体" w:cs="Times New Roman"/>
          <w:color w:val="auto"/>
          <w:kern w:val="0"/>
          <w:sz w:val="24"/>
          <w:highlight w:val="yellow"/>
          <w:lang w:bidi="ar"/>
        </w:rPr>
      </w:pPr>
    </w:p>
    <w:p>
      <w:pPr>
        <w:widowControl/>
        <w:jc w:val="both"/>
        <w:outlineLvl w:val="2"/>
        <w:rPr>
          <w:rFonts w:hint="eastAsia" w:ascii="Times New Roman" w:hAnsi="Times New Roman" w:eastAsia="黑体" w:cs="Times New Roman"/>
          <w:color w:val="auto"/>
          <w:kern w:val="0"/>
          <w:sz w:val="24"/>
          <w:lang w:val="en-US" w:eastAsia="zh-CN" w:bidi="ar"/>
        </w:rPr>
      </w:pPr>
      <w:r>
        <w:rPr>
          <w:rFonts w:hint="eastAsia" w:ascii="Times New Roman" w:hAnsi="Times New Roman" w:eastAsia="黑体" w:cs="Times New Roman"/>
          <w:color w:val="auto"/>
          <w:kern w:val="0"/>
          <w:sz w:val="24"/>
          <w:lang w:val="en-US" w:eastAsia="zh-CN" w:bidi="ar"/>
        </w:rPr>
        <w:t>2.“</w:t>
      </w:r>
      <w:r>
        <w:rPr>
          <w:rFonts w:hint="default" w:ascii="Times New Roman" w:hAnsi="Times New Roman" w:eastAsia="黑体" w:cs="Times New Roman"/>
          <w:color w:val="auto"/>
          <w:kern w:val="0"/>
          <w:sz w:val="24"/>
          <w:lang w:val="en-US" w:eastAsia="zh-CN" w:bidi="ar"/>
        </w:rPr>
        <w:t>习近平新时代中国特色社会主义思想概论</w:t>
      </w:r>
      <w:r>
        <w:rPr>
          <w:rFonts w:hint="eastAsia" w:ascii="Times New Roman" w:hAnsi="Times New Roman" w:eastAsia="黑体" w:cs="Times New Roman"/>
          <w:color w:val="auto"/>
          <w:kern w:val="0"/>
          <w:sz w:val="24"/>
          <w:lang w:val="en-US" w:eastAsia="zh-CN" w:bidi="ar"/>
        </w:rPr>
        <w:t>”开设情况</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sz w:val="24"/>
          <w:szCs w:val="24"/>
          <w:lang w:val="en-US" w:eastAsia="zh-CN"/>
        </w:rPr>
      </w:pPr>
      <w:r>
        <w:rPr>
          <w:rFonts w:hint="eastAsia" w:asciiTheme="minorEastAsia" w:hAnsiTheme="minorEastAsia" w:eastAsiaTheme="minorEastAsia" w:cstheme="minorEastAsia"/>
          <w:sz w:val="24"/>
          <w:szCs w:val="24"/>
          <w:highlight w:val="none"/>
          <w:lang w:val="en-US" w:eastAsia="zh-CN"/>
        </w:rPr>
        <w:t>学校为所有本科生</w:t>
      </w:r>
      <w:r>
        <w:rPr>
          <w:rFonts w:hint="default" w:asciiTheme="minorEastAsia" w:hAnsiTheme="minorEastAsia" w:eastAsiaTheme="minorEastAsia" w:cstheme="minorEastAsia"/>
          <w:sz w:val="24"/>
          <w:szCs w:val="24"/>
          <w:highlight w:val="none"/>
          <w:lang w:val="en-US" w:eastAsia="zh-CN"/>
        </w:rPr>
        <w:t>开设“习近平新时代中国特色社会主义思想概论”</w:t>
      </w:r>
      <w:r>
        <w:rPr>
          <w:rFonts w:hint="eastAsia" w:asciiTheme="minorEastAsia" w:hAnsiTheme="minorEastAsia" w:eastAsiaTheme="minorEastAsia" w:cstheme="minorEastAsia"/>
          <w:sz w:val="24"/>
          <w:szCs w:val="24"/>
          <w:highlight w:val="none"/>
          <w:lang w:val="en-US" w:eastAsia="zh-CN"/>
        </w:rPr>
        <w:t>课程</w:t>
      </w:r>
      <w:r>
        <w:rPr>
          <w:rFonts w:hint="default" w:asciiTheme="minorEastAsia" w:hAnsiTheme="minorEastAsia" w:eastAsiaTheme="minorEastAsia" w:cstheme="minorEastAsia"/>
          <w:sz w:val="24"/>
          <w:szCs w:val="24"/>
          <w:highlight w:val="none"/>
          <w:lang w:val="en-US" w:eastAsia="zh-CN"/>
        </w:rPr>
        <w:t>，3个学分</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48个学时，教学时间安排在大学二年级。2023-2024学年在23个班级中开设</w:t>
      </w:r>
      <w:r>
        <w:rPr>
          <w:rFonts w:hint="eastAsia" w:asciiTheme="minorEastAsia" w:hAnsiTheme="minorEastAsia" w:eastAsiaTheme="minorEastAsia" w:cstheme="minorEastAsia"/>
          <w:sz w:val="24"/>
          <w:szCs w:val="24"/>
          <w:highlight w:val="none"/>
          <w:lang w:val="en-US" w:eastAsia="zh-CN"/>
        </w:rPr>
        <w:t>该课程</w:t>
      </w:r>
      <w:r>
        <w:rPr>
          <w:rFonts w:hint="default" w:asciiTheme="minorEastAsia" w:hAnsiTheme="minorEastAsia" w:eastAsiaTheme="minorEastAsia" w:cstheme="minorEastAsia"/>
          <w:sz w:val="24"/>
          <w:szCs w:val="24"/>
          <w:highlight w:val="none"/>
          <w:lang w:val="en-US" w:eastAsia="zh-CN"/>
        </w:rPr>
        <w:t>，覆盖1856名学生。学校</w:t>
      </w:r>
      <w:r>
        <w:rPr>
          <w:rFonts w:hint="eastAsia" w:asciiTheme="minorEastAsia" w:hAnsiTheme="minorEastAsia" w:eastAsiaTheme="minorEastAsia" w:cstheme="minorEastAsia"/>
          <w:sz w:val="24"/>
          <w:szCs w:val="24"/>
          <w:highlight w:val="none"/>
          <w:lang w:val="en-US" w:eastAsia="zh-CN"/>
        </w:rPr>
        <w:t>高度重视</w:t>
      </w:r>
      <w:r>
        <w:rPr>
          <w:rFonts w:hint="default" w:asciiTheme="minorEastAsia" w:hAnsiTheme="minorEastAsia" w:eastAsiaTheme="minorEastAsia" w:cstheme="minorEastAsia"/>
          <w:sz w:val="24"/>
          <w:szCs w:val="24"/>
          <w:highlight w:val="none"/>
          <w:lang w:val="en-US" w:eastAsia="zh-CN"/>
        </w:rPr>
        <w:t>“习近平新时代中国特色社会主义思想概论”课程</w:t>
      </w:r>
      <w:r>
        <w:rPr>
          <w:rFonts w:hint="eastAsia" w:asciiTheme="minorEastAsia" w:hAnsiTheme="minorEastAsia" w:eastAsiaTheme="minorEastAsia" w:cstheme="minorEastAsia"/>
          <w:sz w:val="24"/>
          <w:szCs w:val="24"/>
          <w:highlight w:val="none"/>
          <w:lang w:val="en-US" w:eastAsia="zh-CN"/>
        </w:rPr>
        <w:t>建设工作：</w:t>
      </w:r>
      <w:r>
        <w:rPr>
          <w:rFonts w:hint="default" w:asciiTheme="minorEastAsia" w:hAnsiTheme="minorEastAsia" w:eastAsiaTheme="minorEastAsia" w:cstheme="minorEastAsia"/>
          <w:sz w:val="24"/>
          <w:szCs w:val="24"/>
          <w:highlight w:val="none"/>
          <w:lang w:val="en-US" w:eastAsia="zh-CN"/>
        </w:rPr>
        <w:t>一是校领导亲自参与和指导“习近平新时代中国特色社会主义思想概论”课程建设，时常参与课程集体备课</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二是马克思主义学院抽调专业基础强、教学业务精、理论功底深的老师成立了“习近平新时代中国特色社会主义思想概论”教研室，组建了一支结构合理、专业能力突出的精干教学团队</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三是狠抓课程集体备课，周期性围绕相关教学专题开展教学研讨</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四是多次派遣教师外出研修，提高教学和科研能力</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五是充分挖掘地方资源，注重线上和线下教学相结合、理论教学和实践教学相结合。</w:t>
      </w:r>
    </w:p>
    <w:p>
      <w:pPr>
        <w:widowControl/>
        <w:jc w:val="both"/>
        <w:outlineLvl w:val="2"/>
        <w:rPr>
          <w:rFonts w:hint="default" w:ascii="Times New Roman" w:hAnsi="Times New Roman" w:eastAsia="黑体" w:cs="Times New Roman"/>
          <w:color w:val="auto"/>
          <w:kern w:val="0"/>
          <w:sz w:val="24"/>
          <w:lang w:val="en-US" w:eastAsia="zh-CN" w:bidi="ar"/>
        </w:rPr>
      </w:pPr>
      <w:r>
        <w:rPr>
          <w:rFonts w:hint="eastAsia" w:ascii="Times New Roman" w:hAnsi="Times New Roman" w:eastAsia="黑体" w:cs="Times New Roman"/>
          <w:color w:val="auto"/>
          <w:kern w:val="0"/>
          <w:sz w:val="24"/>
          <w:lang w:val="en-US" w:eastAsia="zh-CN" w:bidi="ar"/>
        </w:rPr>
        <w:t>3.课程建设情况</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heme="minorEastAsia" w:hAnsiTheme="minorEastAsia" w:eastAsiaTheme="minorEastAsia" w:cstheme="minorEastAsia"/>
          <w:sz w:val="24"/>
          <w:szCs w:val="24"/>
          <w:highlight w:val="none"/>
          <w:lang w:val="en-US" w:eastAsia="zh-CN"/>
        </w:rPr>
      </w:pPr>
      <w:r>
        <w:rPr>
          <w:rFonts w:hint="eastAsia" w:asciiTheme="minorEastAsia" w:hAnsiTheme="minorEastAsia" w:eastAsiaTheme="minorEastAsia" w:cstheme="minorEastAsia"/>
          <w:sz w:val="24"/>
          <w:szCs w:val="24"/>
          <w:highlight w:val="none"/>
          <w:lang w:val="en-US" w:eastAsia="zh-CN"/>
        </w:rPr>
        <w:t>完善体制机制</w:t>
      </w:r>
      <w:r>
        <w:rPr>
          <w:rFonts w:hint="default" w:asciiTheme="minorEastAsia" w:hAnsiTheme="minorEastAsia" w:eastAsiaTheme="minorEastAsia" w:cstheme="minorEastAsia"/>
          <w:sz w:val="24"/>
          <w:szCs w:val="24"/>
          <w:highlight w:val="none"/>
          <w:lang w:val="en-US" w:eastAsia="zh-CN"/>
        </w:rPr>
        <w:t>，</w:t>
      </w:r>
      <w:r>
        <w:rPr>
          <w:rFonts w:hint="eastAsia" w:asciiTheme="minorEastAsia" w:hAnsiTheme="minorEastAsia" w:eastAsiaTheme="minorEastAsia" w:cstheme="minorEastAsia"/>
          <w:sz w:val="24"/>
          <w:szCs w:val="24"/>
          <w:highlight w:val="none"/>
          <w:lang w:val="en-US" w:eastAsia="zh-CN"/>
        </w:rPr>
        <w:t>深入推进</w:t>
      </w:r>
      <w:r>
        <w:rPr>
          <w:rFonts w:hint="default" w:asciiTheme="minorEastAsia" w:hAnsiTheme="minorEastAsia" w:eastAsiaTheme="minorEastAsia" w:cstheme="minorEastAsia"/>
          <w:sz w:val="24"/>
          <w:szCs w:val="24"/>
          <w:highlight w:val="none"/>
          <w:lang w:val="en-US" w:eastAsia="zh-CN"/>
        </w:rPr>
        <w:t>课程思政。根据《湖州学院课程思政教学研究中心建设方案》，做好课程思政顶层设计，打造</w:t>
      </w:r>
      <w:r>
        <w:rPr>
          <w:rFonts w:hint="eastAsia" w:asciiTheme="minorEastAsia" w:hAnsiTheme="minorEastAsia" w:eastAsiaTheme="minorEastAsia" w:cstheme="minorEastAsia"/>
          <w:sz w:val="24"/>
          <w:szCs w:val="24"/>
          <w:highlight w:val="none"/>
          <w:lang w:val="en-US" w:eastAsia="zh-CN"/>
        </w:rPr>
        <w:t>“湖学底蕴·‘两山’特色·湖院特质”</w:t>
      </w:r>
      <w:r>
        <w:rPr>
          <w:rFonts w:hint="default" w:asciiTheme="minorEastAsia" w:hAnsiTheme="minorEastAsia" w:eastAsiaTheme="minorEastAsia" w:cstheme="minorEastAsia"/>
          <w:sz w:val="24"/>
          <w:szCs w:val="24"/>
          <w:highlight w:val="none"/>
          <w:lang w:val="en-US" w:eastAsia="zh-CN"/>
        </w:rPr>
        <w:t>课程思政研究品牌</w:t>
      </w:r>
      <w:r>
        <w:rPr>
          <w:rFonts w:hint="eastAsia" w:asciiTheme="minorEastAsia" w:hAnsiTheme="minorEastAsia" w:eastAsiaTheme="minorEastAsia" w:cstheme="minorEastAsia"/>
          <w:sz w:val="24"/>
          <w:szCs w:val="24"/>
          <w:highlight w:val="none"/>
          <w:lang w:val="en-US" w:eastAsia="zh-CN"/>
        </w:rPr>
        <w:t>，</w:t>
      </w:r>
      <w:r>
        <w:rPr>
          <w:rFonts w:hint="default" w:asciiTheme="minorEastAsia" w:hAnsiTheme="minorEastAsia" w:eastAsiaTheme="minorEastAsia" w:cstheme="minorEastAsia"/>
          <w:sz w:val="24"/>
          <w:szCs w:val="24"/>
          <w:highlight w:val="none"/>
          <w:lang w:val="en-US" w:eastAsia="zh-CN"/>
        </w:rPr>
        <w:t>推进思政课程和课程思政同向同行。课程思政全面融入授课计划与课程教学大纲</w:t>
      </w:r>
      <w:r>
        <w:rPr>
          <w:rFonts w:hint="eastAsia" w:asciiTheme="minorEastAsia" w:hAnsiTheme="minorEastAsia" w:eastAsiaTheme="minorEastAsia" w:cstheme="minorEastAsia"/>
          <w:sz w:val="24"/>
          <w:szCs w:val="24"/>
          <w:highlight w:val="none"/>
          <w:lang w:val="en-US" w:eastAsia="zh-CN"/>
        </w:rPr>
        <w:t>，在</w:t>
      </w:r>
      <w:r>
        <w:rPr>
          <w:rFonts w:hint="default" w:asciiTheme="minorEastAsia" w:hAnsiTheme="minorEastAsia" w:eastAsiaTheme="minorEastAsia" w:cstheme="minorEastAsia"/>
          <w:sz w:val="24"/>
          <w:szCs w:val="24"/>
          <w:highlight w:val="none"/>
          <w:lang w:val="en-US" w:eastAsia="zh-CN"/>
        </w:rPr>
        <w:t>授课计划中设置课程思政模块，覆盖所有课程；课程教学大纲修订、教案（讲义）体现课程育人导向，蕴含思想政治教育元素、承载思想政治教育功能，且</w:t>
      </w:r>
      <w:r>
        <w:rPr>
          <w:rFonts w:hint="eastAsia" w:asciiTheme="minorEastAsia" w:hAnsiTheme="minorEastAsia" w:eastAsiaTheme="minorEastAsia" w:cstheme="minorEastAsia"/>
          <w:sz w:val="24"/>
          <w:szCs w:val="24"/>
          <w:highlight w:val="none"/>
          <w:lang w:val="en-US" w:eastAsia="zh-CN"/>
        </w:rPr>
        <w:t>将之</w:t>
      </w:r>
      <w:r>
        <w:rPr>
          <w:rFonts w:hint="default" w:asciiTheme="minorEastAsia" w:hAnsiTheme="minorEastAsia" w:eastAsiaTheme="minorEastAsia" w:cstheme="minorEastAsia"/>
          <w:sz w:val="24"/>
          <w:szCs w:val="24"/>
          <w:highlight w:val="none"/>
          <w:lang w:val="en-US" w:eastAsia="zh-CN"/>
        </w:rPr>
        <w:t>作为必要章节、课堂讲授重要内容和学生考核关键知识</w:t>
      </w:r>
      <w:r>
        <w:rPr>
          <w:rFonts w:hint="eastAsia" w:asciiTheme="minorEastAsia" w:hAnsiTheme="minorEastAsia" w:eastAsiaTheme="minorEastAsia" w:cstheme="minorEastAsia"/>
          <w:sz w:val="24"/>
          <w:szCs w:val="24"/>
          <w:highlight w:val="none"/>
          <w:lang w:val="en-US" w:eastAsia="zh-CN"/>
        </w:rPr>
        <w:t>，课程思政覆盖率达到100%</w:t>
      </w:r>
      <w:r>
        <w:rPr>
          <w:rFonts w:hint="default" w:asciiTheme="minorEastAsia" w:hAnsiTheme="minorEastAsia" w:eastAsiaTheme="minorEastAsia" w:cstheme="minorEastAsia"/>
          <w:sz w:val="24"/>
          <w:szCs w:val="24"/>
          <w:highlight w:val="none"/>
          <w:lang w:val="en-US" w:eastAsia="zh-CN"/>
        </w:rPr>
        <w:t>。举行课程思政示范课程建设专题培训，</w:t>
      </w:r>
      <w:r>
        <w:rPr>
          <w:rFonts w:hint="eastAsia" w:asciiTheme="minorEastAsia" w:hAnsiTheme="minorEastAsia" w:eastAsiaTheme="minorEastAsia" w:cstheme="minorEastAsia"/>
          <w:sz w:val="24"/>
          <w:szCs w:val="24"/>
          <w:highlight w:val="none"/>
          <w:lang w:val="en-US" w:eastAsia="zh-CN"/>
        </w:rPr>
        <w:t>搭建课程思政平台，引导教师将更多优质课程思政资源融入日常教学，实践“平台+资源+大数据呈现方式+教师研修”一体化课程思政建设方案。完成两批共11个课程思政说课视频拍摄，推送学校视频公众号，发挥示范引领作用。</w:t>
      </w:r>
      <w:r>
        <w:rPr>
          <w:rFonts w:hint="default" w:asciiTheme="minorEastAsia" w:hAnsiTheme="minorEastAsia" w:eastAsiaTheme="minorEastAsia" w:cstheme="minorEastAsia"/>
          <w:sz w:val="24"/>
          <w:szCs w:val="24"/>
          <w:highlight w:val="none"/>
          <w:lang w:val="en-US" w:eastAsia="zh-CN"/>
        </w:rPr>
        <w:t>稳步推进《习近平谈治国理政》多语种版本进高校进教材进课堂</w:t>
      </w:r>
      <w:r>
        <w:rPr>
          <w:rFonts w:hint="eastAsia" w:asciiTheme="minorEastAsia" w:hAnsiTheme="minorEastAsia" w:eastAsiaTheme="minorEastAsia" w:cstheme="minorEastAsia"/>
          <w:sz w:val="24"/>
          <w:szCs w:val="24"/>
          <w:highlight w:val="none"/>
          <w:lang w:val="en-US" w:eastAsia="zh-CN"/>
        </w:rPr>
        <w:t>（简称“三进工作”），立项校级“三进”专项一流课程3门。</w:t>
      </w:r>
    </w:p>
    <w:p>
      <w:pPr>
        <w:keepNext w:val="0"/>
        <w:keepLines w:val="0"/>
        <w:pageBreakBefore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bCs/>
          <w:color w:val="auto"/>
          <w:sz w:val="24"/>
          <w:szCs w:val="24"/>
          <w:lang w:val="en-US" w:eastAsia="zh-CN"/>
        </w:rPr>
      </w:pPr>
      <w:r>
        <w:rPr>
          <w:rFonts w:hint="eastAsia" w:asciiTheme="minorEastAsia" w:hAnsiTheme="minorEastAsia" w:eastAsiaTheme="minorEastAsia" w:cstheme="minorEastAsia"/>
          <w:sz w:val="24"/>
          <w:szCs w:val="24"/>
          <w:highlight w:val="none"/>
          <w:lang w:val="en-US" w:eastAsia="zh-CN"/>
        </w:rPr>
        <w:t>加强制度创新，扎实建设一流</w:t>
      </w:r>
      <w:r>
        <w:rPr>
          <w:rFonts w:hint="default" w:asciiTheme="minorEastAsia" w:hAnsiTheme="minorEastAsia" w:eastAsiaTheme="minorEastAsia" w:cstheme="minorEastAsia"/>
          <w:sz w:val="24"/>
          <w:szCs w:val="24"/>
          <w:highlight w:val="none"/>
          <w:lang w:val="en-US" w:eastAsia="zh-CN"/>
        </w:rPr>
        <w:t>课程。</w:t>
      </w:r>
      <w:r>
        <w:rPr>
          <w:rFonts w:hint="eastAsia" w:asciiTheme="minorEastAsia" w:hAnsiTheme="minorEastAsia" w:eastAsiaTheme="minorEastAsia" w:cstheme="minorEastAsia"/>
          <w:sz w:val="24"/>
          <w:szCs w:val="24"/>
          <w:highlight w:val="none"/>
          <w:lang w:val="en-US" w:eastAsia="zh-CN"/>
        </w:rPr>
        <w:t>学校出台</w:t>
      </w:r>
      <w:r>
        <w:rPr>
          <w:rFonts w:hint="default" w:asciiTheme="minorEastAsia" w:hAnsiTheme="minorEastAsia" w:eastAsiaTheme="minorEastAsia" w:cstheme="minorEastAsia"/>
          <w:sz w:val="24"/>
          <w:szCs w:val="24"/>
          <w:highlight w:val="none"/>
          <w:lang w:val="en-US" w:eastAsia="zh-CN"/>
        </w:rPr>
        <w:t>《</w:t>
      </w:r>
      <w:r>
        <w:rPr>
          <w:rFonts w:hint="eastAsia" w:asciiTheme="minorEastAsia" w:hAnsiTheme="minorEastAsia" w:eastAsiaTheme="minorEastAsia" w:cstheme="minorEastAsia"/>
          <w:sz w:val="24"/>
          <w:szCs w:val="24"/>
          <w:highlight w:val="none"/>
          <w:lang w:val="en-US" w:eastAsia="zh-CN"/>
        </w:rPr>
        <w:t>湖州学院</w:t>
      </w:r>
      <w:r>
        <w:rPr>
          <w:rFonts w:hint="default" w:asciiTheme="minorEastAsia" w:hAnsiTheme="minorEastAsia" w:eastAsiaTheme="minorEastAsia" w:cstheme="minorEastAsia"/>
          <w:sz w:val="24"/>
          <w:szCs w:val="24"/>
          <w:highlight w:val="none"/>
          <w:lang w:val="en-US" w:eastAsia="zh-CN"/>
        </w:rPr>
        <w:t>一流课程建设实施方案》《湖州学院课程思政教学研究中心建设方案》</w:t>
      </w:r>
      <w:r>
        <w:rPr>
          <w:rFonts w:hint="eastAsia" w:asciiTheme="minorEastAsia" w:hAnsiTheme="minorEastAsia" w:eastAsiaTheme="minorEastAsia" w:cstheme="minorEastAsia"/>
          <w:sz w:val="24"/>
          <w:szCs w:val="24"/>
          <w:highlight w:val="none"/>
          <w:lang w:val="en-US" w:eastAsia="zh-CN"/>
        </w:rPr>
        <w:t>《湖州学院优质课堂认定及奖励办法》</w:t>
      </w:r>
      <w:r>
        <w:rPr>
          <w:rFonts w:hint="default" w:asciiTheme="minorEastAsia" w:hAnsiTheme="minorEastAsia" w:eastAsiaTheme="minorEastAsia" w:cstheme="minorEastAsia"/>
          <w:sz w:val="24"/>
          <w:szCs w:val="24"/>
          <w:highlight w:val="none"/>
          <w:lang w:val="en-US" w:eastAsia="zh-CN"/>
        </w:rPr>
        <w:t>等文件，</w:t>
      </w:r>
      <w:r>
        <w:rPr>
          <w:rFonts w:hint="eastAsia" w:asciiTheme="minorEastAsia" w:hAnsiTheme="minorEastAsia" w:eastAsiaTheme="minorEastAsia" w:cstheme="minorEastAsia"/>
          <w:sz w:val="24"/>
          <w:szCs w:val="24"/>
          <w:highlight w:val="none"/>
          <w:lang w:val="en-US" w:eastAsia="zh-CN"/>
        </w:rPr>
        <w:t>以一流课程建设为抓手，全面提升课程建设水平</w:t>
      </w:r>
      <w:r>
        <w:rPr>
          <w:rFonts w:hint="default" w:asciiTheme="minorEastAsia" w:hAnsiTheme="minorEastAsia" w:eastAsiaTheme="minorEastAsia" w:cstheme="minorEastAsia"/>
          <w:sz w:val="24"/>
          <w:szCs w:val="24"/>
          <w:highlight w:val="none"/>
          <w:lang w:val="en-US" w:eastAsia="zh-CN"/>
        </w:rPr>
        <w:t>。</w:t>
      </w:r>
      <w:r>
        <w:rPr>
          <w:rFonts w:hint="eastAsia" w:asciiTheme="minorEastAsia" w:hAnsiTheme="minorEastAsia" w:eastAsiaTheme="minorEastAsia" w:cstheme="minorEastAsia"/>
          <w:sz w:val="24"/>
          <w:szCs w:val="24"/>
          <w:highlight w:val="none"/>
          <w:lang w:val="en-US" w:eastAsia="zh-CN"/>
        </w:rPr>
        <w:t>2023-2024</w:t>
      </w:r>
      <w:r>
        <w:rPr>
          <w:rFonts w:hint="default" w:asciiTheme="minorEastAsia" w:hAnsiTheme="minorEastAsia" w:eastAsiaTheme="minorEastAsia" w:cstheme="minorEastAsia"/>
          <w:sz w:val="24"/>
          <w:szCs w:val="24"/>
          <w:highlight w:val="none"/>
          <w:lang w:val="en-US" w:eastAsia="zh-CN"/>
        </w:rPr>
        <w:t>学年</w:t>
      </w:r>
      <w:r>
        <w:rPr>
          <w:rFonts w:hint="eastAsia" w:asciiTheme="minorEastAsia" w:hAnsiTheme="minorEastAsia" w:eastAsiaTheme="minorEastAsia" w:cstheme="minorEastAsia"/>
          <w:sz w:val="24"/>
          <w:szCs w:val="24"/>
          <w:highlight w:val="none"/>
          <w:lang w:val="en-US" w:eastAsia="zh-CN"/>
        </w:rPr>
        <w:t>学校</w:t>
      </w:r>
      <w:r>
        <w:rPr>
          <w:rFonts w:hint="default" w:asciiTheme="minorEastAsia" w:hAnsiTheme="minorEastAsia" w:eastAsiaTheme="minorEastAsia" w:cstheme="minorEastAsia"/>
          <w:sz w:val="24"/>
          <w:szCs w:val="24"/>
          <w:highlight w:val="none"/>
          <w:lang w:val="en-US" w:eastAsia="zh-CN"/>
        </w:rPr>
        <w:t>新立项校级一流课程</w:t>
      </w:r>
      <w:r>
        <w:rPr>
          <w:rFonts w:hint="eastAsia" w:asciiTheme="minorEastAsia" w:hAnsiTheme="minorEastAsia" w:eastAsiaTheme="minorEastAsia" w:cstheme="minorEastAsia"/>
          <w:sz w:val="24"/>
          <w:szCs w:val="24"/>
          <w:highlight w:val="none"/>
          <w:lang w:val="en-US" w:eastAsia="zh-CN"/>
        </w:rPr>
        <w:t>30</w:t>
      </w:r>
      <w:r>
        <w:rPr>
          <w:rFonts w:hint="default" w:asciiTheme="minorEastAsia" w:hAnsiTheme="minorEastAsia" w:eastAsiaTheme="minorEastAsia" w:cstheme="minorEastAsia"/>
          <w:sz w:val="24"/>
          <w:szCs w:val="24"/>
          <w:highlight w:val="none"/>
          <w:lang w:val="en-US" w:eastAsia="zh-CN"/>
        </w:rPr>
        <w:t>门。加强课程建设项目的过程管理和质量监控，滚动式开展中期检查和结题验收工作。本学年开展2</w:t>
      </w:r>
      <w:r>
        <w:rPr>
          <w:rFonts w:hint="eastAsia" w:asciiTheme="minorEastAsia" w:hAnsiTheme="minorEastAsia" w:eastAsiaTheme="minorEastAsia" w:cstheme="minorEastAsia"/>
          <w:sz w:val="24"/>
          <w:szCs w:val="24"/>
          <w:highlight w:val="none"/>
          <w:lang w:val="en-US" w:eastAsia="zh-CN"/>
        </w:rPr>
        <w:t>020</w:t>
      </w:r>
      <w:r>
        <w:rPr>
          <w:rFonts w:hint="default" w:asciiTheme="minorEastAsia" w:hAnsiTheme="minorEastAsia" w:eastAsiaTheme="minorEastAsia" w:cstheme="minorEastAsia"/>
          <w:sz w:val="24"/>
          <w:szCs w:val="24"/>
          <w:highlight w:val="none"/>
          <w:lang w:val="en-US" w:eastAsia="zh-CN"/>
        </w:rPr>
        <w:t>年</w:t>
      </w:r>
      <w:r>
        <w:rPr>
          <w:rFonts w:hint="eastAsia" w:asciiTheme="minorEastAsia" w:hAnsiTheme="minorEastAsia" w:eastAsiaTheme="minorEastAsia" w:cstheme="minorEastAsia"/>
          <w:sz w:val="24"/>
          <w:szCs w:val="24"/>
          <w:highlight w:val="none"/>
          <w:lang w:val="en-US" w:eastAsia="zh-CN"/>
        </w:rPr>
        <w:t>度</w:t>
      </w:r>
      <w:r>
        <w:rPr>
          <w:rFonts w:hint="default" w:asciiTheme="minorEastAsia" w:hAnsiTheme="minorEastAsia" w:eastAsiaTheme="minorEastAsia" w:cstheme="minorEastAsia"/>
          <w:sz w:val="24"/>
          <w:szCs w:val="24"/>
          <w:highlight w:val="none"/>
          <w:lang w:val="en-US" w:eastAsia="zh-CN"/>
        </w:rPr>
        <w:t>省级一流课程结题验收</w:t>
      </w:r>
      <w:r>
        <w:rPr>
          <w:rFonts w:hint="eastAsia" w:asciiTheme="minorEastAsia" w:hAnsiTheme="minorEastAsia" w:eastAsiaTheme="minorEastAsia" w:cstheme="minorEastAsia"/>
          <w:sz w:val="24"/>
          <w:szCs w:val="24"/>
          <w:highlight w:val="none"/>
          <w:lang w:val="en-US" w:eastAsia="zh-CN"/>
        </w:rPr>
        <w:t>、2022年度省级一流本科课程及首批省级劳动教育一流本科课程</w:t>
      </w:r>
      <w:r>
        <w:rPr>
          <w:rFonts w:hint="default" w:asciiTheme="minorEastAsia" w:hAnsiTheme="minorEastAsia" w:eastAsiaTheme="minorEastAsia" w:cstheme="minorEastAsia"/>
          <w:sz w:val="24"/>
          <w:szCs w:val="24"/>
          <w:highlight w:val="none"/>
          <w:lang w:val="en-US" w:eastAsia="zh-CN"/>
        </w:rPr>
        <w:t>中期检查工作</w:t>
      </w:r>
      <w:r>
        <w:rPr>
          <w:rFonts w:hint="eastAsia" w:asciiTheme="minorEastAsia" w:hAnsiTheme="minorEastAsia" w:eastAsiaTheme="minorEastAsia" w:cstheme="minorEastAsia"/>
          <w:sz w:val="24"/>
          <w:szCs w:val="24"/>
          <w:highlight w:val="none"/>
          <w:lang w:val="en-US" w:eastAsia="zh-CN"/>
        </w:rPr>
        <w:t>；开展2021年度校级一流课程结题验收、2022年度校级一流本科课程中期检查工作</w:t>
      </w:r>
      <w:r>
        <w:rPr>
          <w:rFonts w:hint="default" w:asciiTheme="minorEastAsia" w:hAnsiTheme="minorEastAsia" w:eastAsiaTheme="minorEastAsia" w:cstheme="minorEastAsia"/>
          <w:sz w:val="24"/>
          <w:szCs w:val="24"/>
          <w:highlight w:val="none"/>
          <w:lang w:val="en-US" w:eastAsia="zh-CN"/>
        </w:rPr>
        <w:t>。</w:t>
      </w:r>
      <w:r>
        <w:rPr>
          <w:rFonts w:hint="eastAsia" w:asciiTheme="minorEastAsia" w:hAnsiTheme="minorEastAsia" w:eastAsiaTheme="minorEastAsia" w:cstheme="minorEastAsia"/>
          <w:sz w:val="24"/>
          <w:szCs w:val="24"/>
          <w:highlight w:val="none"/>
          <w:lang w:val="en-US" w:eastAsia="zh-CN"/>
        </w:rPr>
        <w:t>持续加大经费投入，本学年</w:t>
      </w:r>
      <w:r>
        <w:rPr>
          <w:rFonts w:hint="default" w:asciiTheme="minorEastAsia" w:hAnsiTheme="minorEastAsia" w:eastAsiaTheme="minorEastAsia" w:cstheme="minorEastAsia"/>
          <w:sz w:val="24"/>
          <w:szCs w:val="24"/>
          <w:highlight w:val="none"/>
          <w:lang w:val="en-US" w:eastAsia="zh-CN"/>
        </w:rPr>
        <w:t>划拨课程建设专项经费</w:t>
      </w:r>
      <w:r>
        <w:rPr>
          <w:rFonts w:hint="eastAsia" w:asciiTheme="minorEastAsia" w:hAnsiTheme="minorEastAsia" w:eastAsiaTheme="minorEastAsia" w:cstheme="minorEastAsia"/>
          <w:sz w:val="24"/>
          <w:szCs w:val="24"/>
          <w:highlight w:val="none"/>
          <w:lang w:val="en-US" w:eastAsia="zh-CN"/>
        </w:rPr>
        <w:t>80.6</w:t>
      </w:r>
      <w:r>
        <w:rPr>
          <w:rFonts w:hint="default" w:asciiTheme="minorEastAsia" w:hAnsiTheme="minorEastAsia" w:eastAsiaTheme="minorEastAsia" w:cstheme="minorEastAsia"/>
          <w:sz w:val="24"/>
          <w:szCs w:val="24"/>
          <w:highlight w:val="none"/>
          <w:lang w:val="en-US" w:eastAsia="zh-CN"/>
        </w:rPr>
        <w:t>万元。</w:t>
      </w:r>
    </w:p>
    <w:p>
      <w:pPr>
        <w:jc w:val="both"/>
        <w:outlineLvl w:val="1"/>
        <w:rPr>
          <w:rFonts w:hint="eastAsia" w:ascii="Times New Roman" w:hAnsi="Times New Roman" w:eastAsia="黑体" w:cs="Times New Roman"/>
          <w:color w:val="auto"/>
          <w:sz w:val="28"/>
          <w:szCs w:val="28"/>
        </w:rPr>
      </w:pPr>
      <w:bookmarkStart w:id="33" w:name="_Toc27306"/>
      <w:r>
        <w:rPr>
          <w:rFonts w:hint="eastAsia" w:ascii="Times New Roman" w:hAnsi="Times New Roman" w:eastAsia="黑体" w:cs="Times New Roman"/>
          <w:color w:val="auto"/>
          <w:sz w:val="28"/>
          <w:szCs w:val="28"/>
        </w:rPr>
        <w:t>（三）实践教学</w:t>
      </w:r>
      <w:bookmarkEnd w:id="33"/>
    </w:p>
    <w:p>
      <w:pPr>
        <w:widowControl/>
        <w:jc w:val="both"/>
        <w:outlineLvl w:val="2"/>
        <w:rPr>
          <w:rFonts w:hint="eastAsia" w:ascii="Times New Roman" w:hAnsi="Times New Roman" w:eastAsia="黑体" w:cs="Times New Roman"/>
          <w:color w:val="auto"/>
          <w:kern w:val="0"/>
          <w:sz w:val="24"/>
          <w:lang w:val="en-US" w:eastAsia="zh-CN" w:bidi="ar"/>
        </w:rPr>
      </w:pPr>
      <w:r>
        <w:rPr>
          <w:rFonts w:hint="eastAsia" w:ascii="Times New Roman" w:hAnsi="Times New Roman" w:eastAsia="黑体" w:cs="Times New Roman"/>
          <w:color w:val="auto"/>
          <w:kern w:val="0"/>
          <w:sz w:val="24"/>
          <w:lang w:val="en-US" w:eastAsia="zh-CN" w:bidi="ar"/>
        </w:rPr>
        <w:t>1.打造高端协同实践教学体系</w:t>
      </w:r>
    </w:p>
    <w:p>
      <w:pPr>
        <w:keepNext w:val="0"/>
        <w:keepLines w:val="0"/>
        <w:pageBreakBefore w:val="0"/>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bCs/>
          <w:color w:val="auto"/>
          <w:sz w:val="24"/>
          <w:szCs w:val="24"/>
          <w:lang w:val="en-US" w:eastAsia="zh-CN"/>
        </w:rPr>
      </w:pPr>
      <w:r>
        <w:rPr>
          <w:rFonts w:hint="eastAsia" w:asciiTheme="minorEastAsia" w:hAnsiTheme="minorEastAsia" w:eastAsiaTheme="minorEastAsia" w:cstheme="minorEastAsia"/>
          <w:sz w:val="24"/>
          <w:szCs w:val="24"/>
          <w:highlight w:val="none"/>
          <w:lang w:val="en-US" w:eastAsia="zh-CN"/>
        </w:rPr>
        <w:t>完善实践教学体系。围绕高素质应用型人才培养目标，按照学生的认知规律和成长规律，将实验教学、课程设计、专业见习、专业实习、毕业（综合）实习、毕业论文（设计）、创新创业、社会实践、学科竞赛、社团建设等纳入实践教学管理范围，形成一个贯穿学生课堂外活动、与课堂学习密切协调的完整体系。进一步提升实践教学比重，加大科技创新与学生实践的有机融合，规范推进实践教学课程建设，并对各学科的实践教学学分比例提出明确的要求，2023-2024学年各专业实践教学环节平均学分61.88分，占比36.63%，较上一学年增长了1.93个百分点。</w:t>
      </w:r>
    </w:p>
    <w:p>
      <w:pPr>
        <w:keepNext w:val="0"/>
        <w:keepLines w:val="0"/>
        <w:pageBreakBefore w:val="0"/>
        <w:kinsoku/>
        <w:wordWrap/>
        <w:overflowPunct/>
        <w:topLinePunct w:val="0"/>
        <w:autoSpaceDE/>
        <w:autoSpaceDN/>
        <w:bidi w:val="0"/>
        <w:adjustRightInd/>
        <w:snapToGrid/>
        <w:spacing w:line="400" w:lineRule="exact"/>
        <w:ind w:firstLine="480" w:firstLineChars="200"/>
        <w:jc w:val="both"/>
        <w:textAlignment w:val="auto"/>
        <w:rPr>
          <w:rFonts w:hint="default" w:asciiTheme="minorEastAsia" w:hAnsiTheme="minorEastAsia" w:eastAsiaTheme="minorEastAsia" w:cstheme="minorEastAsia"/>
          <w:sz w:val="24"/>
          <w:szCs w:val="24"/>
          <w:highlight w:val="none"/>
          <w:lang w:val="en-US" w:eastAsia="zh-CN"/>
        </w:rPr>
      </w:pPr>
      <w:r>
        <w:rPr>
          <w:rFonts w:hint="eastAsia" w:asciiTheme="minorEastAsia" w:hAnsiTheme="minorEastAsia" w:eastAsiaTheme="minorEastAsia" w:cstheme="minorEastAsia"/>
          <w:sz w:val="24"/>
          <w:szCs w:val="24"/>
          <w:highlight w:val="none"/>
          <w:lang w:val="en-US" w:eastAsia="zh-CN"/>
        </w:rPr>
        <w:t>创新校外实践形式。学校强调校内学习与校外实践的协同，形成理论与实践相结合的高效教学模式。根据理论教学需要，结合生产实践实际，将教学要求分解为一个个实际的实践任务，推进“任务型”校外实践教学。在“白鹭齐飞，夏耕树人”产教城融合育才暑期实践活动和毕业实习、就业一体化实践活动中，校地、校企共同设计有针对性的实践任务，将地方经济社会发展的实际需求融入教学。开展“订单式”教学，全面落实“双导师制”，每个学生小组均1:1配备校内和校外师资，加强专业引导，提升校外实践教学质量，确保学生能够在真实的工作环境中获得实践经验。本学年学校共有980名学生在80余位指导老师的带领下，奔赴600余家企业，深入基层，开展“白鹭齐飞 夏耕树人”产教城融合育才暑期实践活动；共有742位2024届毕业生前往159家企事业单位，参与毕业实习、就业一体化实践活动。</w:t>
      </w:r>
    </w:p>
    <w:p>
      <w:pPr>
        <w:keepNext w:val="0"/>
        <w:keepLines w:val="0"/>
        <w:pageBreakBefore w:val="0"/>
        <w:kinsoku/>
        <w:wordWrap/>
        <w:overflowPunct/>
        <w:topLinePunct w:val="0"/>
        <w:autoSpaceDE/>
        <w:autoSpaceDN/>
        <w:bidi w:val="0"/>
        <w:adjustRightInd/>
        <w:snapToGrid/>
        <w:spacing w:line="400" w:lineRule="exact"/>
        <w:ind w:firstLine="422" w:firstLineChars="200"/>
        <w:jc w:val="both"/>
        <w:textAlignment w:val="auto"/>
        <w:rPr>
          <w:rFonts w:hint="eastAsia" w:ascii="Times New Roman" w:hAnsi="Times New Roman" w:eastAsia="宋体" w:cs="Times New Roman"/>
          <w:b/>
          <w:bCs/>
          <w:color w:val="auto"/>
          <w:kern w:val="2"/>
          <w:sz w:val="21"/>
          <w:szCs w:val="21"/>
          <w:lang w:val="en-US" w:eastAsia="zh-CN" w:bidi="ar-SA"/>
        </w:rPr>
      </w:pPr>
    </w:p>
    <w:p>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Times New Roman" w:hAnsi="Times New Roman" w:eastAsia="宋体" w:cs="Times New Roman"/>
          <w:b/>
          <w:bCs/>
          <w:color w:val="auto"/>
          <w:kern w:val="2"/>
          <w:sz w:val="21"/>
          <w:szCs w:val="21"/>
          <w:lang w:val="en-US" w:eastAsia="zh-CN" w:bidi="ar-SA"/>
        </w:rPr>
      </w:pPr>
      <w:r>
        <w:rPr>
          <w:rFonts w:hint="eastAsia" w:ascii="Times New Roman" w:hAnsi="Times New Roman" w:eastAsia="宋体" w:cs="Times New Roman"/>
          <w:b w:val="0"/>
          <w:bCs w:val="0"/>
          <w:color w:val="auto"/>
          <w:kern w:val="2"/>
          <w:sz w:val="21"/>
          <w:szCs w:val="21"/>
          <w:highlight w:val="none"/>
          <w:lang w:val="en-US" w:eastAsia="zh-CN" w:bidi="ar-SA"/>
        </w:rPr>
        <w:t>图</w:t>
      </w:r>
      <w:r>
        <w:rPr>
          <w:rFonts w:hint="eastAsia" w:ascii="Times New Roman" w:hAnsi="Times New Roman" w:cs="Times New Roman"/>
          <w:b w:val="0"/>
          <w:bCs w:val="0"/>
          <w:color w:val="auto"/>
          <w:kern w:val="2"/>
          <w:sz w:val="21"/>
          <w:szCs w:val="21"/>
          <w:highlight w:val="none"/>
          <w:lang w:val="en-US" w:eastAsia="zh-CN" w:bidi="ar-SA"/>
        </w:rPr>
        <w:t>5</w:t>
      </w:r>
      <w:r>
        <w:rPr>
          <w:rFonts w:hint="eastAsia" w:ascii="Times New Roman" w:hAnsi="Times New Roman" w:eastAsia="宋体" w:cs="Times New Roman"/>
          <w:b w:val="0"/>
          <w:bCs w:val="0"/>
          <w:color w:val="auto"/>
          <w:kern w:val="2"/>
          <w:sz w:val="21"/>
          <w:szCs w:val="21"/>
          <w:lang w:val="en-US" w:eastAsia="zh-CN" w:bidi="ar-SA"/>
        </w:rPr>
        <w:t xml:space="preserve">  校领导走访慰问“白鹭齐飞 夏耕树人”产教城融合育才暑期实践学生</w:t>
      </w:r>
      <w:r>
        <w:rPr>
          <w:rFonts w:hint="default" w:ascii="Times New Roman" w:hAnsi="Times New Roman" w:eastAsia="宋体" w:cs="Times New Roman"/>
          <w:b/>
          <w:bCs/>
          <w:color w:val="auto"/>
          <w:kern w:val="2"/>
          <w:sz w:val="21"/>
          <w:szCs w:val="21"/>
          <w:highlight w:val="yellow"/>
          <w:lang w:val="en-US" w:eastAsia="zh-CN" w:bidi="ar-SA"/>
        </w:rPr>
        <w:drawing>
          <wp:anchor distT="0" distB="0" distL="114300" distR="114300" simplePos="0" relativeHeight="251659264" behindDoc="0" locked="0" layoutInCell="1" allowOverlap="1">
            <wp:simplePos x="0" y="0"/>
            <wp:positionH relativeFrom="column">
              <wp:posOffset>514350</wp:posOffset>
            </wp:positionH>
            <wp:positionV relativeFrom="paragraph">
              <wp:posOffset>26670</wp:posOffset>
            </wp:positionV>
            <wp:extent cx="4203700" cy="2531110"/>
            <wp:effectExtent l="0" t="0" r="0" b="0"/>
            <wp:wrapTopAndBottom/>
            <wp:docPr id="7"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IMG_256"/>
                    <pic:cNvPicPr>
                      <a:picLocks noChangeAspect="1"/>
                    </pic:cNvPicPr>
                  </pic:nvPicPr>
                  <pic:blipFill>
                    <a:blip r:embed="rId12"/>
                    <a:srcRect t="16924"/>
                    <a:stretch>
                      <a:fillRect/>
                    </a:stretch>
                  </pic:blipFill>
                  <pic:spPr>
                    <a:xfrm>
                      <a:off x="0" y="0"/>
                      <a:ext cx="4203700" cy="2531110"/>
                    </a:xfrm>
                    <a:prstGeom prst="rect">
                      <a:avLst/>
                    </a:prstGeom>
                    <a:noFill/>
                    <a:ln>
                      <a:noFill/>
                    </a:ln>
                  </pic:spPr>
                </pic:pic>
              </a:graphicData>
            </a:graphic>
          </wp:anchor>
        </w:drawing>
      </w:r>
    </w:p>
    <w:p>
      <w:pPr>
        <w:pStyle w:val="4"/>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s="仿宋_GB2312"/>
          <w:b w:val="0"/>
          <w:bCs w:val="0"/>
          <w:sz w:val="30"/>
          <w:szCs w:val="30"/>
        </w:rPr>
      </w:pPr>
      <w:r>
        <w:rPr>
          <w:rFonts w:hint="eastAsia" w:ascii="仿宋_GB2312" w:hAnsi="仿宋_GB2312" w:eastAsia="仿宋_GB2312" w:cs="仿宋_GB2312"/>
          <w:b w:val="0"/>
          <w:bCs w:val="0"/>
          <w:sz w:val="30"/>
          <w:szCs w:val="30"/>
        </w:rPr>
        <w:drawing>
          <wp:inline distT="0" distB="0" distL="114300" distR="114300">
            <wp:extent cx="4250690" cy="2179955"/>
            <wp:effectExtent l="0" t="0" r="16510" b="10795"/>
            <wp:docPr id="5" name="图片 1" descr="C:\Users\ustinian\WeChat Files\wxid_7nemdn30vx6m22\FileStorage\Temp\2f32f8cf2fdcaa0562053bd4ebf5c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C:\Users\ustinian\WeChat Files\wxid_7nemdn30vx6m22\FileStorage\Temp\2f32f8cf2fdcaa0562053bd4ebf5c07.jpg"/>
                    <pic:cNvPicPr>
                      <a:picLocks noChangeAspect="1"/>
                    </pic:cNvPicPr>
                  </pic:nvPicPr>
                  <pic:blipFill>
                    <a:blip r:embed="rId13"/>
                    <a:stretch>
                      <a:fillRect/>
                    </a:stretch>
                  </pic:blipFill>
                  <pic:spPr>
                    <a:xfrm>
                      <a:off x="0" y="0"/>
                      <a:ext cx="4250690" cy="2179955"/>
                    </a:xfrm>
                    <a:prstGeom prst="rect">
                      <a:avLst/>
                    </a:prstGeom>
                    <a:noFill/>
                    <a:ln>
                      <a:noFill/>
                    </a:ln>
                  </pic:spPr>
                </pic:pic>
              </a:graphicData>
            </a:graphic>
          </wp:inline>
        </w:drawing>
      </w:r>
    </w:p>
    <w:p>
      <w:pPr>
        <w:pStyle w:val="4"/>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kern w:val="2"/>
          <w:sz w:val="21"/>
          <w:szCs w:val="21"/>
          <w:lang w:val="en-US" w:eastAsia="zh-CN" w:bidi="ar-SA"/>
        </w:rPr>
      </w:pPr>
      <w:r>
        <w:rPr>
          <w:rFonts w:hint="eastAsia" w:ascii="Times New Roman" w:hAnsi="Times New Roman" w:eastAsia="宋体" w:cs="Times New Roman"/>
          <w:b w:val="0"/>
          <w:bCs w:val="0"/>
          <w:color w:val="auto"/>
          <w:kern w:val="2"/>
          <w:sz w:val="21"/>
          <w:szCs w:val="21"/>
          <w:highlight w:val="none"/>
          <w:lang w:val="en-US" w:eastAsia="zh-CN" w:bidi="ar-SA"/>
        </w:rPr>
        <w:t xml:space="preserve">图6  </w:t>
      </w:r>
      <w:r>
        <w:rPr>
          <w:rFonts w:hint="eastAsia" w:ascii="Times New Roman" w:hAnsi="Times New Roman" w:eastAsia="宋体" w:cs="Times New Roman"/>
          <w:b w:val="0"/>
          <w:bCs w:val="0"/>
          <w:color w:val="auto"/>
          <w:kern w:val="2"/>
          <w:sz w:val="21"/>
          <w:szCs w:val="21"/>
          <w:lang w:val="en-US" w:eastAsia="zh-CN" w:bidi="ar-SA"/>
        </w:rPr>
        <w:t>“白鹭齐飞 夏耕树人”产教城融合育才暑期实践实习任务</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kern w:val="2"/>
          <w:sz w:val="21"/>
          <w:szCs w:val="21"/>
          <w:lang w:val="en-US" w:eastAsia="zh-CN" w:bidi="ar-SA"/>
        </w:rPr>
      </w:pPr>
    </w:p>
    <w:p>
      <w:pPr>
        <w:widowControl/>
        <w:jc w:val="both"/>
        <w:outlineLvl w:val="2"/>
        <w:rPr>
          <w:rFonts w:hint="eastAsia" w:ascii="Times New Roman" w:hAnsi="Times New Roman" w:eastAsia="黑体" w:cs="Times New Roman"/>
          <w:color w:val="auto"/>
          <w:kern w:val="0"/>
          <w:sz w:val="24"/>
          <w:lang w:val="en-US" w:eastAsia="zh-CN" w:bidi="ar"/>
        </w:rPr>
      </w:pPr>
      <w:r>
        <w:rPr>
          <w:rFonts w:hint="eastAsia" w:ascii="Times New Roman" w:hAnsi="Times New Roman" w:eastAsia="黑体" w:cs="Times New Roman"/>
          <w:color w:val="auto"/>
          <w:kern w:val="0"/>
          <w:sz w:val="24"/>
          <w:lang w:val="en-US" w:eastAsia="zh-CN" w:bidi="ar"/>
        </w:rPr>
        <w:t>2.打造高标准实践教学平台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0" w:firstLine="480" w:firstLineChars="20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highlight w:val="none"/>
          <w:lang w:val="en-US" w:eastAsia="zh-CN"/>
        </w:rPr>
        <w:t>推进校外基地建设。学校通过整合现有校外基地资源，积极推进校外基地体系化。结合“白鹭齐飞，夏耕树人”和毕业实习、就业一体化实践活动，与企事业单位、科研机构深入合作，建设一批高水平实验平台和实习实训基地。深化实践基地内涵建设，针对湖州地方产业特点，共建学科专业，共同推进人才培养，打造一批有湖州产业特色的产业学院。2023-2024学年，学校建有新能源产业学院、高端装备产业学院、地理信息产业学院、现代大健康产业学院等4所现代产业学院，新增校外实践基地37个；截至目前，共建有校外实践基地193个，以满足学生实习、实训等教学需要。</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0" w:firstLine="480" w:firstLineChars="200"/>
        <w:jc w:val="both"/>
        <w:textAlignment w:val="auto"/>
        <w:rPr>
          <w:rFonts w:hint="eastAsia" w:asciiTheme="minorEastAsia" w:hAnsiTheme="minorEastAsia" w:eastAsiaTheme="minorEastAsia" w:cstheme="minorEastAsia"/>
          <w:sz w:val="24"/>
          <w:szCs w:val="24"/>
          <w:highlight w:val="none"/>
          <w:lang w:val="en-US" w:eastAsia="zh-CN"/>
        </w:rPr>
      </w:pPr>
      <w:r>
        <w:rPr>
          <w:rFonts w:hint="eastAsia" w:asciiTheme="minorEastAsia" w:hAnsiTheme="minorEastAsia" w:eastAsiaTheme="minorEastAsia" w:cstheme="minorEastAsia"/>
          <w:sz w:val="24"/>
          <w:szCs w:val="24"/>
          <w:highlight w:val="none"/>
          <w:lang w:val="en-US" w:eastAsia="zh-CN"/>
        </w:rPr>
        <w:t>建设智能实践管理平台。学校充分运用现代信息技术优势，建设线上实践教学平台，利用智能实践管理平台实现实践教学的全程跟踪和管理。加强实践教学动态监管，规范实践教学环节，确保学生在实训、实习、社会实践等实践教学环节中能够积累充分的数据和研究素材，通过规范化管理和导师指导，逐步完成高质量的毕业论文。本学年，学校继续完善“湖州学院实践教学管理平台”建设，将各类实践活动纳入线上监管，基本实现了对实践教学的信息化管理。</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0" w:firstLine="480" w:firstLineChars="200"/>
        <w:jc w:val="both"/>
        <w:textAlignment w:val="auto"/>
        <w:rPr>
          <w:rFonts w:hint="default" w:asciiTheme="minorEastAsia" w:hAnsiTheme="minorEastAsia" w:eastAsiaTheme="minorEastAsia" w:cstheme="minorEastAsia"/>
          <w:sz w:val="24"/>
          <w:szCs w:val="24"/>
          <w:highlight w:val="none"/>
          <w:lang w:val="en-US" w:eastAsia="zh-CN"/>
        </w:rPr>
      </w:pPr>
      <w:r>
        <w:rPr>
          <w:rFonts w:hint="eastAsia" w:asciiTheme="minorEastAsia" w:hAnsiTheme="minorEastAsia" w:eastAsiaTheme="minorEastAsia" w:cstheme="minorEastAsia"/>
          <w:sz w:val="24"/>
          <w:szCs w:val="24"/>
          <w:highlight w:val="none"/>
          <w:lang w:val="en-US" w:eastAsia="zh-CN"/>
        </w:rPr>
        <w:t>推进产教深度融合。</w:t>
      </w:r>
      <w:r>
        <w:rPr>
          <w:rFonts w:hint="eastAsia" w:asciiTheme="minorEastAsia" w:hAnsiTheme="minorEastAsia" w:eastAsiaTheme="minorEastAsia" w:cstheme="minorEastAsia"/>
          <w:sz w:val="24"/>
          <w:szCs w:val="24"/>
          <w:highlight w:val="none"/>
          <w:lang w:val="en-US" w:eastAsia="zh-Hans"/>
        </w:rPr>
        <w:t>学校紧密对接区域经济社会发展需求，提高服务湖州贡献度，构建产教深度融合的协同育人长效机制，实现人才培养与社会需求的“无缝对接”。搭建校企实践平台，以产业和技术发展的最新需求推动人才培养改革。学校</w:t>
      </w:r>
      <w:r>
        <w:rPr>
          <w:rFonts w:hint="eastAsia" w:asciiTheme="minorEastAsia" w:hAnsiTheme="minorEastAsia" w:eastAsiaTheme="minorEastAsia" w:cstheme="minorEastAsia"/>
          <w:sz w:val="24"/>
          <w:szCs w:val="24"/>
          <w:highlight w:val="none"/>
          <w:lang w:val="en-US" w:eastAsia="zh-CN"/>
        </w:rPr>
        <w:t>持续推进现代</w:t>
      </w:r>
      <w:r>
        <w:rPr>
          <w:rFonts w:hint="eastAsia" w:asciiTheme="minorEastAsia" w:hAnsiTheme="minorEastAsia" w:eastAsiaTheme="minorEastAsia" w:cstheme="minorEastAsia"/>
          <w:sz w:val="24"/>
          <w:szCs w:val="24"/>
          <w:highlight w:val="none"/>
          <w:lang w:val="en-US" w:eastAsia="zh-Hans"/>
        </w:rPr>
        <w:t>产业学院</w:t>
      </w:r>
      <w:r>
        <w:rPr>
          <w:rFonts w:hint="eastAsia" w:asciiTheme="minorEastAsia" w:hAnsiTheme="minorEastAsia" w:eastAsiaTheme="minorEastAsia" w:cstheme="minorEastAsia"/>
          <w:sz w:val="24"/>
          <w:szCs w:val="24"/>
          <w:highlight w:val="none"/>
          <w:lang w:val="en-US" w:eastAsia="zh-CN"/>
        </w:rPr>
        <w:t>建设</w:t>
      </w:r>
      <w:r>
        <w:rPr>
          <w:rFonts w:hint="eastAsia" w:asciiTheme="minorEastAsia" w:hAnsiTheme="minorEastAsia" w:eastAsiaTheme="minorEastAsia" w:cstheme="minorEastAsia"/>
          <w:sz w:val="24"/>
          <w:szCs w:val="24"/>
          <w:highlight w:val="none"/>
          <w:lang w:val="en-US" w:eastAsia="zh-Hans"/>
        </w:rPr>
        <w:t>，</w:t>
      </w:r>
      <w:r>
        <w:rPr>
          <w:rFonts w:hint="eastAsia" w:asciiTheme="minorEastAsia" w:hAnsiTheme="minorEastAsia" w:eastAsiaTheme="minorEastAsia" w:cstheme="minorEastAsia"/>
          <w:sz w:val="24"/>
          <w:szCs w:val="24"/>
          <w:highlight w:val="none"/>
          <w:lang w:val="en-US" w:eastAsia="zh-CN"/>
        </w:rPr>
        <w:t>发挥学校、地方政府、行业企业等多元办学主体作用，明确各方权利与义务，推行共同管理、共建专业、共设基地、共组团队、共享资源、共创成果、共育人才、共担责任“八共模式”，形成贴近新兴产业、契合行业标准、突破专业界限、产学研深度融合的应用型人才培养共同体，实现现代产业学院可持续、内涵式创新发展。以“新能源产业学院”“高端装备产业学院”“地理信息产业学院”“现代大健康产业学院”4所现代产业学院建设为抓手，推进大学生校外实践基地、产教融合基地、现代产业学院三大层次的基地群建设，打造“产-学-研-转-创-用”一体化的实体性人才培养创新平台。本学年，新增立项教育部产学合作协同育人项目22项。2023-2024学年新增立项教育部产学合作协同育人项目见表5。</w:t>
      </w:r>
    </w:p>
    <w:p>
      <w:pPr>
        <w:pStyle w:val="16"/>
        <w:keepNext w:val="0"/>
        <w:keepLines w:val="0"/>
        <w:pageBreakBefore w:val="0"/>
        <w:widowControl w:val="0"/>
        <w:kinsoku/>
        <w:wordWrap/>
        <w:overflowPunct/>
        <w:topLinePunct w:val="0"/>
        <w:bidi w:val="0"/>
        <w:snapToGrid/>
        <w:spacing w:line="400" w:lineRule="exact"/>
        <w:ind w:firstLine="422" w:firstLineChars="200"/>
        <w:jc w:val="center"/>
        <w:textAlignment w:val="auto"/>
        <w:rPr>
          <w:rFonts w:hint="eastAsia" w:ascii="Times New Roman" w:hAnsi="Times New Roman" w:eastAsia="宋体" w:cs="Times New Roman"/>
          <w:b/>
          <w:bCs/>
          <w:color w:val="auto"/>
          <w:kern w:val="2"/>
          <w:sz w:val="21"/>
          <w:szCs w:val="21"/>
          <w:lang w:val="en-US" w:eastAsia="zh-CN" w:bidi="ar-SA"/>
        </w:rPr>
      </w:pPr>
    </w:p>
    <w:p>
      <w:pPr>
        <w:pStyle w:val="16"/>
        <w:keepNext w:val="0"/>
        <w:keepLines w:val="0"/>
        <w:pageBreakBefore w:val="0"/>
        <w:widowControl w:val="0"/>
        <w:kinsoku/>
        <w:wordWrap/>
        <w:overflowPunct/>
        <w:topLinePunct w:val="0"/>
        <w:bidi w:val="0"/>
        <w:snapToGrid/>
        <w:spacing w:line="400" w:lineRule="exact"/>
        <w:ind w:firstLine="420" w:firstLineChars="200"/>
        <w:jc w:val="center"/>
        <w:textAlignment w:val="auto"/>
        <w:rPr>
          <w:rFonts w:hint="eastAsia" w:ascii="宋体" w:hAnsi="宋体" w:eastAsia="宋体" w:cs="宋体"/>
          <w:color w:val="auto"/>
          <w:kern w:val="2"/>
          <w:sz w:val="21"/>
          <w:szCs w:val="21"/>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表</w:t>
      </w:r>
      <w:r>
        <w:rPr>
          <w:rFonts w:hint="default" w:ascii="Times New Roman" w:hAnsi="Times New Roman" w:cs="Times New Roman" w:eastAsiaTheme="minorEastAsia"/>
          <w:color w:val="auto"/>
          <w:kern w:val="2"/>
          <w:sz w:val="21"/>
          <w:szCs w:val="21"/>
          <w:highlight w:val="none"/>
          <w:lang w:val="en-US" w:eastAsia="zh-CN" w:bidi="ar-SA"/>
        </w:rPr>
        <w:t>5</w:t>
      </w:r>
      <w:r>
        <w:rPr>
          <w:rFonts w:hint="eastAsia" w:asciiTheme="minorEastAsia" w:hAnsiTheme="minorEastAsia" w:eastAsiaTheme="minorEastAsia" w:cstheme="minorEastAsia"/>
          <w:color w:val="auto"/>
          <w:kern w:val="2"/>
          <w:sz w:val="21"/>
          <w:szCs w:val="21"/>
          <w:highlight w:val="none"/>
          <w:lang w:val="en-US" w:eastAsia="zh-CN" w:bidi="ar-SA"/>
        </w:rPr>
        <w:t xml:space="preserve">  </w:t>
      </w:r>
      <w:r>
        <w:rPr>
          <w:rFonts w:hint="default" w:ascii="Times New Roman" w:hAnsi="Times New Roman" w:cs="Times New Roman" w:eastAsiaTheme="minorEastAsia"/>
          <w:color w:val="auto"/>
          <w:kern w:val="2"/>
          <w:sz w:val="21"/>
          <w:szCs w:val="21"/>
          <w:highlight w:val="none"/>
          <w:lang w:val="en-US" w:eastAsia="zh-CN" w:bidi="ar-SA"/>
        </w:rPr>
        <w:t>2023-2024</w:t>
      </w:r>
      <w:r>
        <w:rPr>
          <w:rFonts w:hint="eastAsia" w:asciiTheme="minorEastAsia" w:hAnsiTheme="minorEastAsia" w:eastAsiaTheme="minorEastAsia" w:cstheme="minorEastAsia"/>
          <w:color w:val="auto"/>
          <w:kern w:val="2"/>
          <w:sz w:val="21"/>
          <w:szCs w:val="21"/>
          <w:highlight w:val="none"/>
          <w:lang w:val="en-US" w:eastAsia="zh-CN" w:bidi="ar-SA"/>
        </w:rPr>
        <w:t>学年新增立项教育部产学合作协同育人项目</w:t>
      </w:r>
    </w:p>
    <w:tbl>
      <w:tblPr>
        <w:tblStyle w:val="12"/>
        <w:tblW w:w="8522" w:type="dxa"/>
        <w:jc w:val="center"/>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Layout w:type="fixed"/>
        <w:tblCellMar>
          <w:top w:w="0" w:type="dxa"/>
          <w:left w:w="108" w:type="dxa"/>
          <w:bottom w:w="0" w:type="dxa"/>
          <w:right w:w="108" w:type="dxa"/>
        </w:tblCellMar>
      </w:tblPr>
      <w:tblGrid>
        <w:gridCol w:w="578"/>
        <w:gridCol w:w="4753"/>
        <w:gridCol w:w="3191"/>
      </w:tblGrid>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tblHeader/>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default" w:ascii="宋体" w:hAnsi="宋体" w:eastAsia="宋体" w:cs="宋体"/>
                <w:b w:val="0"/>
                <w:bCs/>
                <w:color w:val="000000"/>
                <w:sz w:val="18"/>
                <w:szCs w:val="18"/>
                <w:lang w:val="en-US" w:eastAsia="zh-CN"/>
              </w:rPr>
            </w:pPr>
            <w:r>
              <w:rPr>
                <w:rFonts w:hint="eastAsia" w:ascii="Times New Roman" w:hAnsi="Times New Roman" w:eastAsia="宋体" w:cs="Times New Roman"/>
                <w:b w:val="0"/>
                <w:bCs/>
                <w:color w:val="000000"/>
                <w:sz w:val="18"/>
                <w:szCs w:val="18"/>
                <w:lang w:val="en-US" w:eastAsia="zh-CN"/>
              </w:rPr>
              <w:t>序号</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宋体" w:hAnsi="宋体" w:eastAsia="宋体" w:cs="宋体"/>
                <w:b w:val="0"/>
                <w:bCs/>
                <w:color w:val="000000"/>
                <w:sz w:val="20"/>
                <w:szCs w:val="20"/>
                <w:lang w:val="en-US" w:eastAsia="zh-CN"/>
              </w:rPr>
            </w:pPr>
            <w:r>
              <w:rPr>
                <w:rFonts w:hint="eastAsia" w:ascii="Times New Roman" w:hAnsi="Times New Roman" w:eastAsia="宋体" w:cs="Times New Roman"/>
                <w:b w:val="0"/>
                <w:bCs/>
                <w:color w:val="000000"/>
                <w:sz w:val="18"/>
                <w:szCs w:val="18"/>
                <w:lang w:val="en-US" w:eastAsia="zh-CN"/>
              </w:rPr>
              <w:t>项目名称</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宋体" w:hAnsi="宋体" w:eastAsia="宋体" w:cs="宋体"/>
                <w:b w:val="0"/>
                <w:bCs/>
                <w:color w:val="000000"/>
                <w:sz w:val="20"/>
                <w:szCs w:val="20"/>
                <w:lang w:val="en-US" w:eastAsia="zh-CN"/>
              </w:rPr>
            </w:pPr>
            <w:r>
              <w:rPr>
                <w:rFonts w:hint="eastAsia" w:ascii="Times New Roman" w:hAnsi="Times New Roman" w:eastAsia="宋体" w:cs="Times New Roman"/>
                <w:b w:val="0"/>
                <w:bCs/>
                <w:color w:val="000000"/>
                <w:sz w:val="18"/>
                <w:szCs w:val="18"/>
                <w:lang w:val="en-US" w:eastAsia="zh-CN"/>
              </w:rPr>
              <w:t>支持公司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default" w:ascii="宋体" w:hAnsi="宋体" w:eastAsia="宋体" w:cs="宋体"/>
                <w:b w:val="0"/>
                <w:bCs w:val="0"/>
                <w:sz w:val="18"/>
                <w:szCs w:val="18"/>
                <w:lang w:val="en-US" w:eastAsia="zh-CN"/>
              </w:rPr>
            </w:pPr>
            <w:r>
              <w:rPr>
                <w:rFonts w:hint="eastAsia" w:ascii="Times New Roman" w:hAnsi="Times New Roman" w:cs="Times New Roman" w:eastAsiaTheme="minorEastAsia"/>
                <w:color w:val="auto"/>
                <w:kern w:val="2"/>
                <w:sz w:val="18"/>
                <w:szCs w:val="18"/>
                <w:highlight w:val="none"/>
                <w:lang w:val="en-US" w:eastAsia="zh-CN" w:bidi="ar-SA"/>
              </w:rPr>
              <w:t>1</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多物理量组合式传感测试技术实验平台构建与实践</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北京康斯特仪表科技股份有限公司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9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2</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智能制造背景下液压传动与气动教学内容和课程体系改革研究</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昆山巨林科教实业有限公司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3</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智能制造背景下地方应用型本科高校工科专业师资培训探索</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北京昊科世纪信息技术有限公司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4</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面向工程应用的电气工程及其自动化专业教学改革研究</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北京海瑞克科技发展有限公司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5</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新工科产教融合校企共建专业特色产业学院模式研究</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北京华普亿方科技集团股份有限公司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6</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VR教学模式在商务英语教学中的创建与应用</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奥熙（天津）文化发展有限公司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7</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新能源汽车工程新工科校企产教融合建设</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北京华普亿方科技集团股份有限公司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8</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药学教育与实践的跨学科师资发展</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南京宇和政盛软件科技有限公司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9</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生物工程专业3D打印实践基地建设</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上海联泰科技股份有限公司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10</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基于虚拟现实技术的高校设计类专业 实践教学平台建设</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广东虚拟现实科技有限公司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11</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应用型本科高校视觉传达设计专业一流课程教学改革与实践—以《书籍设计》课程为例</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成都维物汇谱教育管理有限公司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12</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数字化视角下大运河文化带非遗文创设计与人才培养产教融合实践</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i w:val="0"/>
                <w:iCs w:val="0"/>
                <w:color w:val="000000"/>
                <w:kern w:val="0"/>
                <w:sz w:val="18"/>
                <w:szCs w:val="18"/>
                <w:u w:val="none"/>
                <w:lang w:val="en-US" w:eastAsia="zh-CN" w:bidi="ar"/>
              </w:rPr>
            </w:pPr>
            <w:r>
              <w:rPr>
                <w:rFonts w:hint="eastAsia" w:ascii="宋体" w:hAnsi="宋体" w:eastAsia="宋体" w:cs="宋体"/>
                <w:b w:val="0"/>
                <w:i w:val="0"/>
                <w:iCs w:val="0"/>
                <w:color w:val="000000"/>
                <w:kern w:val="0"/>
                <w:sz w:val="18"/>
                <w:szCs w:val="18"/>
                <w:u w:val="none"/>
                <w:lang w:val="en-US" w:eastAsia="zh-CN" w:bidi="ar"/>
              </w:rPr>
              <w:t>术语通</w:t>
            </w:r>
            <w:r>
              <w:rPr>
                <w:rFonts w:hint="eastAsia" w:ascii="宋体" w:hAnsi="宋体" w:cs="宋体"/>
                <w:b w:val="0"/>
                <w:i w:val="0"/>
                <w:iCs w:val="0"/>
                <w:color w:val="000000"/>
                <w:kern w:val="0"/>
                <w:sz w:val="18"/>
                <w:szCs w:val="18"/>
                <w:u w:val="none"/>
                <w:lang w:val="en-US" w:eastAsia="zh-CN" w:bidi="ar"/>
              </w:rPr>
              <w:t>（</w:t>
            </w:r>
            <w:r>
              <w:rPr>
                <w:rFonts w:hint="eastAsia" w:ascii="宋体" w:hAnsi="宋体" w:eastAsia="宋体" w:cs="宋体"/>
                <w:b w:val="0"/>
                <w:i w:val="0"/>
                <w:iCs w:val="0"/>
                <w:color w:val="000000"/>
                <w:kern w:val="0"/>
                <w:sz w:val="18"/>
                <w:szCs w:val="18"/>
                <w:u w:val="none"/>
                <w:lang w:val="en-US" w:eastAsia="zh-CN" w:bidi="ar"/>
              </w:rPr>
              <w:t>重庆</w:t>
            </w:r>
            <w:r>
              <w:rPr>
                <w:rFonts w:hint="eastAsia" w:ascii="宋体" w:hAnsi="宋体" w:cs="宋体"/>
                <w:b w:val="0"/>
                <w:i w:val="0"/>
                <w:iCs w:val="0"/>
                <w:color w:val="000000"/>
                <w:kern w:val="0"/>
                <w:sz w:val="18"/>
                <w:szCs w:val="18"/>
                <w:u w:val="none"/>
                <w:lang w:val="en-US" w:eastAsia="zh-CN" w:bidi="ar"/>
              </w:rPr>
              <w:t>）</w:t>
            </w:r>
            <w:r>
              <w:rPr>
                <w:rFonts w:hint="eastAsia" w:ascii="宋体" w:hAnsi="宋体" w:eastAsia="宋体" w:cs="宋体"/>
                <w:b w:val="0"/>
                <w:i w:val="0"/>
                <w:iCs w:val="0"/>
                <w:color w:val="000000"/>
                <w:kern w:val="0"/>
                <w:sz w:val="18"/>
                <w:szCs w:val="18"/>
                <w:u w:val="none"/>
                <w:lang w:val="en-US" w:eastAsia="zh-CN" w:bidi="ar"/>
              </w:rPr>
              <w:t>数据科学研究院有限公司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13</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新文科背景下的大数据运用及高校师资力量培训探索</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i w:val="0"/>
                <w:iCs w:val="0"/>
                <w:color w:val="000000"/>
                <w:kern w:val="0"/>
                <w:sz w:val="18"/>
                <w:szCs w:val="18"/>
                <w:u w:val="none"/>
                <w:lang w:val="en-US" w:eastAsia="zh-CN" w:bidi="ar"/>
              </w:rPr>
            </w:pPr>
            <w:r>
              <w:rPr>
                <w:rFonts w:hint="eastAsia" w:ascii="宋体" w:hAnsi="宋体" w:eastAsia="宋体" w:cs="宋体"/>
                <w:b w:val="0"/>
                <w:i w:val="0"/>
                <w:iCs w:val="0"/>
                <w:color w:val="000000"/>
                <w:kern w:val="0"/>
                <w:sz w:val="18"/>
                <w:szCs w:val="18"/>
                <w:u w:val="none"/>
                <w:lang w:val="en-US" w:eastAsia="zh-CN" w:bidi="ar"/>
              </w:rPr>
              <w:t>浙江智联教育科技有限公司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14</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人工智能师资培训项目</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i w:val="0"/>
                <w:iCs w:val="0"/>
                <w:color w:val="000000"/>
                <w:kern w:val="0"/>
                <w:sz w:val="18"/>
                <w:szCs w:val="18"/>
                <w:u w:val="none"/>
                <w:lang w:val="en-US" w:eastAsia="zh-CN" w:bidi="ar"/>
              </w:rPr>
            </w:pPr>
            <w:r>
              <w:rPr>
                <w:rFonts w:hint="eastAsia" w:ascii="宋体" w:hAnsi="宋体" w:eastAsia="宋体" w:cs="宋体"/>
                <w:b w:val="0"/>
                <w:i w:val="0"/>
                <w:iCs w:val="0"/>
                <w:color w:val="000000"/>
                <w:kern w:val="0"/>
                <w:sz w:val="18"/>
                <w:szCs w:val="18"/>
                <w:u w:val="none"/>
                <w:lang w:val="en-US" w:eastAsia="zh-CN" w:bidi="ar"/>
              </w:rPr>
              <w:t>新大陆科技集团有限公司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15</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现代信息技术与物流交通运输专业教学改革的深度融合探讨</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i w:val="0"/>
                <w:iCs w:val="0"/>
                <w:color w:val="000000"/>
                <w:kern w:val="0"/>
                <w:sz w:val="18"/>
                <w:szCs w:val="18"/>
                <w:u w:val="none"/>
                <w:lang w:val="en-US" w:eastAsia="zh-CN" w:bidi="ar"/>
              </w:rPr>
            </w:pPr>
            <w:r>
              <w:rPr>
                <w:rFonts w:hint="eastAsia" w:ascii="宋体" w:hAnsi="宋体" w:eastAsia="宋体" w:cs="宋体"/>
                <w:b w:val="0"/>
                <w:i w:val="0"/>
                <w:iCs w:val="0"/>
                <w:color w:val="000000"/>
                <w:kern w:val="0"/>
                <w:sz w:val="18"/>
                <w:szCs w:val="18"/>
                <w:u w:val="none"/>
                <w:lang w:val="en-US" w:eastAsia="zh-CN" w:bidi="ar"/>
              </w:rPr>
              <w:t>大连伟为科技发展有限公司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16</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新工科背景下智能制造专业群师资队伍建设研究</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i w:val="0"/>
                <w:iCs w:val="0"/>
                <w:color w:val="000000"/>
                <w:kern w:val="0"/>
                <w:sz w:val="18"/>
                <w:szCs w:val="18"/>
                <w:u w:val="none"/>
                <w:lang w:val="en-US" w:eastAsia="zh-CN" w:bidi="ar"/>
              </w:rPr>
            </w:pPr>
            <w:r>
              <w:rPr>
                <w:rFonts w:hint="eastAsia" w:ascii="宋体" w:hAnsi="宋体" w:eastAsia="宋体" w:cs="宋体"/>
                <w:b w:val="0"/>
                <w:i w:val="0"/>
                <w:iCs w:val="0"/>
                <w:color w:val="000000"/>
                <w:kern w:val="0"/>
                <w:sz w:val="18"/>
                <w:szCs w:val="18"/>
                <w:u w:val="none"/>
                <w:lang w:val="en-US" w:eastAsia="zh-CN" w:bidi="ar"/>
              </w:rPr>
              <w:t>浙江求是科教设备有限公司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17</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光电专业创新实验课程规划及校内实践基地建设</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i w:val="0"/>
                <w:iCs w:val="0"/>
                <w:color w:val="000000"/>
                <w:kern w:val="0"/>
                <w:sz w:val="18"/>
                <w:szCs w:val="18"/>
                <w:u w:val="none"/>
                <w:lang w:val="en-US" w:eastAsia="zh-CN" w:bidi="ar"/>
              </w:rPr>
            </w:pPr>
            <w:r>
              <w:rPr>
                <w:rFonts w:hint="eastAsia" w:ascii="宋体" w:hAnsi="宋体" w:eastAsia="宋体" w:cs="宋体"/>
                <w:b w:val="0"/>
                <w:i w:val="0"/>
                <w:iCs w:val="0"/>
                <w:color w:val="000000"/>
                <w:kern w:val="0"/>
                <w:sz w:val="18"/>
                <w:szCs w:val="18"/>
                <w:u w:val="none"/>
                <w:lang w:val="en-US" w:eastAsia="zh-CN" w:bidi="ar"/>
              </w:rPr>
              <w:t>武汉麦思威科技有限公司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18</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生物工程专业工程制图与机械基础实践平台建设</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i w:val="0"/>
                <w:iCs w:val="0"/>
                <w:color w:val="000000"/>
                <w:kern w:val="0"/>
                <w:sz w:val="18"/>
                <w:szCs w:val="18"/>
                <w:u w:val="none"/>
                <w:lang w:val="en-US" w:eastAsia="zh-CN" w:bidi="ar"/>
              </w:rPr>
            </w:pPr>
            <w:r>
              <w:rPr>
                <w:rFonts w:hint="eastAsia" w:ascii="宋体" w:hAnsi="宋体" w:eastAsia="宋体" w:cs="宋体"/>
                <w:b w:val="0"/>
                <w:i w:val="0"/>
                <w:iCs w:val="0"/>
                <w:color w:val="000000"/>
                <w:kern w:val="0"/>
                <w:sz w:val="18"/>
                <w:szCs w:val="18"/>
                <w:u w:val="none"/>
                <w:lang w:val="en-US" w:eastAsia="zh-CN" w:bidi="ar"/>
              </w:rPr>
              <w:t>广州中望龙腾软件股份有限公司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608"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19</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文旅融合视域下浙江儿童研学视觉文创设计与人才培养产教融合实践</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i w:val="0"/>
                <w:iCs w:val="0"/>
                <w:color w:val="000000"/>
                <w:kern w:val="0"/>
                <w:sz w:val="18"/>
                <w:szCs w:val="18"/>
                <w:u w:val="none"/>
                <w:lang w:val="en-US" w:eastAsia="zh-CN" w:bidi="ar"/>
              </w:rPr>
            </w:pPr>
            <w:r>
              <w:rPr>
                <w:rFonts w:hint="eastAsia" w:ascii="宋体" w:hAnsi="宋体" w:eastAsia="宋体" w:cs="宋体"/>
                <w:b w:val="0"/>
                <w:i w:val="0"/>
                <w:iCs w:val="0"/>
                <w:color w:val="000000"/>
                <w:kern w:val="0"/>
                <w:sz w:val="18"/>
                <w:szCs w:val="18"/>
                <w:u w:val="none"/>
                <w:lang w:val="en-US" w:eastAsia="zh-CN" w:bidi="ar"/>
              </w:rPr>
              <w:t>广州美迁科技有限公司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20</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数字经济背景下微观经济学教学内容改革的研究</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i w:val="0"/>
                <w:iCs w:val="0"/>
                <w:color w:val="000000"/>
                <w:kern w:val="0"/>
                <w:sz w:val="18"/>
                <w:szCs w:val="18"/>
                <w:u w:val="none"/>
                <w:lang w:val="en-US" w:eastAsia="zh-CN" w:bidi="ar"/>
              </w:rPr>
            </w:pPr>
            <w:r>
              <w:rPr>
                <w:rFonts w:hint="eastAsia" w:ascii="宋体" w:hAnsi="宋体" w:eastAsia="宋体" w:cs="宋体"/>
                <w:b w:val="0"/>
                <w:i w:val="0"/>
                <w:iCs w:val="0"/>
                <w:color w:val="000000"/>
                <w:kern w:val="0"/>
                <w:sz w:val="18"/>
                <w:szCs w:val="18"/>
                <w:u w:val="none"/>
                <w:lang w:val="en-US" w:eastAsia="zh-CN" w:bidi="ar"/>
              </w:rPr>
              <w:t>四川众行智合教育科技有限公司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21</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传统文化视角下浙江书院空间营造与人才培养产教融合实践</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i w:val="0"/>
                <w:iCs w:val="0"/>
                <w:color w:val="000000"/>
                <w:kern w:val="0"/>
                <w:sz w:val="18"/>
                <w:szCs w:val="18"/>
                <w:u w:val="none"/>
                <w:lang w:val="en-US" w:eastAsia="zh-CN" w:bidi="ar"/>
              </w:rPr>
            </w:pPr>
            <w:r>
              <w:rPr>
                <w:rFonts w:hint="eastAsia" w:ascii="宋体" w:hAnsi="宋体" w:eastAsia="宋体" w:cs="宋体"/>
                <w:b w:val="0"/>
                <w:i w:val="0"/>
                <w:iCs w:val="0"/>
                <w:color w:val="000000"/>
                <w:kern w:val="0"/>
                <w:sz w:val="18"/>
                <w:szCs w:val="18"/>
                <w:u w:val="none"/>
                <w:lang w:val="en-US" w:eastAsia="zh-CN" w:bidi="ar"/>
              </w:rPr>
              <w:t>重庆西姆装饰工程有限公司</w:t>
            </w:r>
          </w:p>
        </w:tc>
      </w:tr>
      <w:tr>
        <w:tblPrEx>
          <w:tblBorders>
            <w:top w:val="single" w:color="4684D3" w:sz="8" w:space="0"/>
            <w:left w:val="single" w:color="4684D3" w:sz="8" w:space="0"/>
            <w:bottom w:val="single" w:color="4684D3" w:sz="8" w:space="0"/>
            <w:right w:val="single" w:color="4684D3" w:sz="8" w:space="0"/>
            <w:insideH w:val="single" w:color="DDDDDD" w:sz="8" w:space="0"/>
            <w:insideV w:val="single" w:color="DDDDDD" w:sz="8" w:space="0"/>
          </w:tblBorders>
          <w:tblCellMar>
            <w:top w:w="0" w:type="dxa"/>
            <w:left w:w="108" w:type="dxa"/>
            <w:bottom w:w="0" w:type="dxa"/>
            <w:right w:w="108" w:type="dxa"/>
          </w:tblCellMar>
        </w:tblPrEx>
        <w:trPr>
          <w:trHeight w:val="0" w:hRule="atLeast"/>
          <w:jc w:val="center"/>
        </w:trPr>
        <w:tc>
          <w:tcPr>
            <w:tcW w:w="578"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ascii="Times New Roman" w:hAnsi="Times New Roman" w:cs="Times New Roman" w:eastAsiaTheme="minorEastAsia"/>
                <w:color w:val="auto"/>
                <w:kern w:val="2"/>
                <w:sz w:val="18"/>
                <w:szCs w:val="18"/>
                <w:highlight w:val="none"/>
                <w:lang w:val="en-US" w:eastAsia="zh-CN" w:bidi="ar-SA"/>
              </w:rPr>
              <w:t>22</w:t>
            </w:r>
          </w:p>
        </w:tc>
        <w:tc>
          <w:tcPr>
            <w:tcW w:w="475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bCs w:val="0"/>
                <w:color w:val="000000"/>
                <w:sz w:val="18"/>
                <w:szCs w:val="18"/>
                <w:lang w:val="en-US" w:eastAsia="zh-CN"/>
              </w:rPr>
            </w:pPr>
            <w:r>
              <w:rPr>
                <w:rFonts w:hint="eastAsia" w:ascii="宋体" w:hAnsi="宋体" w:eastAsia="宋体" w:cs="宋体"/>
                <w:b w:val="0"/>
                <w:i w:val="0"/>
                <w:iCs w:val="0"/>
                <w:color w:val="000000"/>
                <w:kern w:val="0"/>
                <w:sz w:val="18"/>
                <w:szCs w:val="18"/>
                <w:u w:val="none"/>
                <w:lang w:val="en-US" w:eastAsia="zh-CN" w:bidi="ar"/>
              </w:rPr>
              <w:t>非物质文化遗产保护在线实践训练平台建设</w:t>
            </w:r>
          </w:p>
        </w:tc>
        <w:tc>
          <w:tcPr>
            <w:tcW w:w="3191"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pageBreakBefore w:val="0"/>
              <w:widowControl/>
              <w:suppressLineNumbers w:val="0"/>
              <w:kinsoku/>
              <w:wordWrap/>
              <w:overflowPunct/>
              <w:topLinePunct w:val="0"/>
              <w:bidi w:val="0"/>
              <w:spacing w:line="240" w:lineRule="auto"/>
              <w:jc w:val="center"/>
              <w:textAlignment w:val="center"/>
              <w:rPr>
                <w:rFonts w:hint="eastAsia" w:ascii="宋体" w:hAnsi="宋体" w:eastAsia="宋体" w:cs="宋体"/>
                <w:b w:val="0"/>
                <w:i w:val="0"/>
                <w:iCs w:val="0"/>
                <w:color w:val="000000"/>
                <w:kern w:val="0"/>
                <w:sz w:val="18"/>
                <w:szCs w:val="18"/>
                <w:u w:val="none"/>
                <w:lang w:val="en-US" w:eastAsia="zh-CN" w:bidi="ar"/>
              </w:rPr>
            </w:pPr>
            <w:r>
              <w:rPr>
                <w:rFonts w:hint="eastAsia" w:ascii="宋体" w:hAnsi="宋体" w:eastAsia="宋体" w:cs="宋体"/>
                <w:b w:val="0"/>
                <w:i w:val="0"/>
                <w:iCs w:val="0"/>
                <w:color w:val="000000"/>
                <w:kern w:val="0"/>
                <w:sz w:val="18"/>
                <w:szCs w:val="18"/>
                <w:u w:val="none"/>
                <w:lang w:val="en-US" w:eastAsia="zh-CN" w:bidi="ar"/>
              </w:rPr>
              <w:t>浙江智联教育科技有限公司</w:t>
            </w:r>
          </w:p>
        </w:tc>
      </w:tr>
    </w:tbl>
    <w:p>
      <w:pPr>
        <w:keepNext w:val="0"/>
        <w:keepLines w:val="0"/>
        <w:pageBreakBefore w:val="0"/>
        <w:widowControl/>
        <w:kinsoku/>
        <w:wordWrap/>
        <w:overflowPunct/>
        <w:topLinePunct w:val="0"/>
        <w:autoSpaceDE/>
        <w:autoSpaceDN/>
        <w:bidi w:val="0"/>
        <w:adjustRightInd/>
        <w:snapToGrid/>
        <w:spacing w:before="0" w:beforeLines="-2147483648" w:line="400" w:lineRule="exact"/>
        <w:jc w:val="both"/>
        <w:textAlignment w:val="auto"/>
        <w:outlineLvl w:val="2"/>
        <w:rPr>
          <w:rFonts w:hint="eastAsia" w:ascii="Times New Roman" w:hAnsi="Times New Roman" w:eastAsia="黑体" w:cs="Times New Roman"/>
          <w:color w:val="auto"/>
          <w:kern w:val="0"/>
          <w:sz w:val="24"/>
          <w:szCs w:val="24"/>
          <w:lang w:val="en-US" w:eastAsia="zh-CN" w:bidi="ar"/>
        </w:rPr>
      </w:pPr>
      <w:bookmarkStart w:id="34" w:name="_Toc17091"/>
      <w:bookmarkStart w:id="35" w:name="_Toc12992"/>
      <w:bookmarkStart w:id="36" w:name="_Toc26106"/>
    </w:p>
    <w:p>
      <w:pPr>
        <w:keepNext w:val="0"/>
        <w:keepLines w:val="0"/>
        <w:pageBreakBefore w:val="0"/>
        <w:widowControl/>
        <w:kinsoku/>
        <w:wordWrap/>
        <w:overflowPunct/>
        <w:topLinePunct w:val="0"/>
        <w:autoSpaceDE/>
        <w:autoSpaceDN/>
        <w:bidi w:val="0"/>
        <w:adjustRightInd/>
        <w:snapToGrid/>
        <w:spacing w:before="0" w:beforeLines="-2147483648" w:line="240" w:lineRule="auto"/>
        <w:jc w:val="both"/>
        <w:textAlignment w:val="auto"/>
        <w:outlineLvl w:val="2"/>
        <w:rPr>
          <w:rFonts w:hint="eastAsia" w:ascii="Times New Roman" w:hAnsi="Times New Roman" w:eastAsia="黑体" w:cs="Times New Roman"/>
          <w:color w:val="auto"/>
          <w:kern w:val="0"/>
          <w:sz w:val="24"/>
          <w:szCs w:val="24"/>
          <w:lang w:val="en-US" w:eastAsia="zh-CN" w:bidi="ar"/>
        </w:rPr>
      </w:pPr>
      <w:r>
        <w:rPr>
          <w:rFonts w:hint="eastAsia" w:ascii="Times New Roman" w:hAnsi="Times New Roman" w:eastAsia="黑体" w:cs="Times New Roman"/>
          <w:color w:val="auto"/>
          <w:kern w:val="0"/>
          <w:sz w:val="24"/>
          <w:szCs w:val="24"/>
          <w:lang w:val="en-US" w:eastAsia="zh-CN" w:bidi="ar"/>
        </w:rPr>
        <w:t>3.毕业论文（设计）</w:t>
      </w:r>
      <w:bookmarkEnd w:id="34"/>
      <w:bookmarkEnd w:id="35"/>
      <w:bookmarkEnd w:id="36"/>
    </w:p>
    <w:p>
      <w:pPr>
        <w:pStyle w:val="4"/>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jc w:val="both"/>
        <w:textAlignment w:val="auto"/>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严把质量关。根据《湖州学院本科毕业论文（设计）工作管理办法》《湖州学院本科毕业论文（设计）抽检办法》，进一步规范毕业论文（设计）过程管理，严把毕业论文（设计）质量关。2023-2024学年，学校采用“中国知网”大学生论文检测系统，对学生论文进行学术不端检测，同时统一毕业论文（设计）查重标准，要求总文字复制比小于30%方能参加毕业论文（设计）的评阅与答辩。为确保毕业论文（设计）的原创性，学校还以部分论文为试点，引入AIGC查重系统，避免学生过度依赖AI写作，提升学术诚信。2024届本科毕业论文（设计）2310篇，共评出校级优秀毕业论文25篇。本学年教育部全国毕业论文（设计）抽检工作共报送专业24个，共报送毕业论文（设计）原文2312篇，其中毕业论文1812篇，毕业设计500篇。本次报送更新后共有在库专家351人，其中正高级25人，副高级74人。</w:t>
      </w:r>
    </w:p>
    <w:p>
      <w:pPr>
        <w:pStyle w:val="4"/>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强化过程管理。成立学校本科毕业论文（设计）工作领导小组、二级学院本科毕业论文（设计）工作小组，切实加强各阶段工作的组织和管理，对本科毕业论文（设计）的准备、选题、落实、指导、评阅、答辩、总结、学术诚信检测情况等方面进行检查和监督，加强毕业论文（设计）过程管理。同时，学校组织校督导对毕业论文（设计）工作进行全生命周期监督，参与毕业论文（设计）现场答辩，并对毕业论文（设计）进行专项检查。学校鼓励学生从社会实践中选取毕业论文（设计）题目，对于在校外单位完成的本科毕业论文，必须实行“双导师制”。此外，学校依托线上毕业论文（设计）管理系统，运用信息化手段规范毕业论文（设计）流程管理，对学生毕业论文（设计）的选题、任务书、开题报告、过程材料、查重报告等方面进行全面监管，提高管理效率，保证毕业论文（设计）质量。</w:t>
      </w:r>
    </w:p>
    <w:p>
      <w:pPr>
        <w:pStyle w:val="4"/>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明确撰写规范。本学年修订《湖州学院本科毕业论文（设计）撰写规范》《湖州学院本科毕业论文（设计）论文》，进一步明确本科毕业论文（设计）的学术规范性要求，并将本科毕业论文（设计）的撰写时间、文本规范、字数要求等纳入二级学院本科毕业论文工作实施细则中，从而进一步提高毕业论文（设计）质量。</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outlineLvl w:val="1"/>
        <w:rPr>
          <w:rFonts w:hint="eastAsia" w:ascii="黑体" w:hAnsi="黑体" w:eastAsia="黑体" w:cs="黑体"/>
          <w:b w:val="0"/>
          <w:bCs w:val="0"/>
          <w:color w:val="auto"/>
          <w:kern w:val="2"/>
          <w:sz w:val="28"/>
          <w:szCs w:val="28"/>
          <w:lang w:val="en-US" w:eastAsia="zh-CN" w:bidi="ar-SA"/>
        </w:rPr>
      </w:pPr>
      <w:bookmarkStart w:id="37" w:name="_Toc7781"/>
      <w:r>
        <w:rPr>
          <w:rFonts w:hint="eastAsia" w:ascii="黑体" w:hAnsi="黑体" w:eastAsia="黑体" w:cs="黑体"/>
          <w:b w:val="0"/>
          <w:bCs w:val="0"/>
          <w:color w:val="auto"/>
          <w:kern w:val="2"/>
          <w:sz w:val="28"/>
          <w:szCs w:val="28"/>
          <w:lang w:val="en-US" w:eastAsia="zh-CN" w:bidi="ar-SA"/>
        </w:rPr>
        <w:t>（四）教材建设</w:t>
      </w:r>
      <w:bookmarkEnd w:id="37"/>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eastAsiaTheme="minorEastAsia" w:cstheme="minorEastAsia"/>
          <w:kern w:val="2"/>
          <w:sz w:val="24"/>
          <w:szCs w:val="24"/>
          <w:highlight w:val="none"/>
          <w:lang w:val="en-US" w:eastAsia="zh-CN" w:bidi="ar-SA"/>
        </w:rPr>
      </w:pPr>
      <w:bookmarkStart w:id="38" w:name="_Toc5336"/>
      <w:bookmarkStart w:id="39" w:name="_Toc844"/>
      <w:bookmarkStart w:id="40" w:name="_Toc15077"/>
      <w:r>
        <w:rPr>
          <w:rFonts w:hint="eastAsia" w:asciiTheme="minorEastAsia" w:hAnsiTheme="minorEastAsia" w:eastAsiaTheme="minorEastAsia" w:cstheme="minorEastAsia"/>
          <w:kern w:val="2"/>
          <w:sz w:val="24"/>
          <w:szCs w:val="24"/>
          <w:highlight w:val="none"/>
          <w:lang w:val="en-US" w:eastAsia="zh-CN" w:bidi="ar-SA"/>
        </w:rPr>
        <w:t>根据《湖州学院教材选用征订管理办法》《湖州学院教材核查实施办法（试行）》，学校规范开展教材选用和教材专项核查工作。坚持选用优质教材，加强教材选用过程监管，要求思想政治理论课和哲学社会科学有关课程原则上使用马克思主义理论研究和建设工程重点教材，马工程教材使用率100%。其他课程优先选用国家规划教材、获省级及以上奖励的优秀教材、面向21世纪课程教材和国家教学指导委员会推荐的教材。教材选用坚持“凡选必审”原则，未经审核或审核不通过的教材不得选用。学校扎实推进教材建设工作，鼓励教师</w:t>
      </w:r>
      <w:r>
        <w:rPr>
          <w:rFonts w:hint="default" w:asciiTheme="minorEastAsia" w:hAnsiTheme="minorEastAsia" w:eastAsiaTheme="minorEastAsia" w:cstheme="minorEastAsia"/>
          <w:kern w:val="2"/>
          <w:sz w:val="24"/>
          <w:szCs w:val="24"/>
          <w:highlight w:val="none"/>
          <w:lang w:val="en-US" w:eastAsia="zh-CN" w:bidi="ar-SA"/>
        </w:rPr>
        <w:t>校企合作开发教学资源</w:t>
      </w:r>
      <w:r>
        <w:rPr>
          <w:rFonts w:hint="eastAsia" w:asciiTheme="minorEastAsia" w:hAnsiTheme="minorEastAsia" w:eastAsiaTheme="minorEastAsia" w:cstheme="minorEastAsia"/>
          <w:kern w:val="2"/>
          <w:sz w:val="24"/>
          <w:szCs w:val="24"/>
          <w:highlight w:val="none"/>
          <w:lang w:val="en-US" w:eastAsia="zh-CN" w:bidi="ar-SA"/>
        </w:rPr>
        <w:t>，</w:t>
      </w:r>
      <w:r>
        <w:rPr>
          <w:rFonts w:hint="default" w:asciiTheme="minorEastAsia" w:hAnsiTheme="minorEastAsia" w:eastAsiaTheme="minorEastAsia" w:cstheme="minorEastAsia"/>
          <w:kern w:val="2"/>
          <w:sz w:val="24"/>
          <w:szCs w:val="24"/>
          <w:highlight w:val="none"/>
          <w:lang w:val="en-US" w:eastAsia="zh-CN" w:bidi="ar-SA"/>
        </w:rPr>
        <w:t>强化产教融合建</w:t>
      </w:r>
      <w:r>
        <w:rPr>
          <w:rFonts w:hint="eastAsia" w:asciiTheme="minorEastAsia" w:hAnsiTheme="minorEastAsia" w:eastAsiaTheme="minorEastAsia" w:cstheme="minorEastAsia"/>
          <w:kern w:val="2"/>
          <w:sz w:val="24"/>
          <w:szCs w:val="24"/>
          <w:highlight w:val="none"/>
          <w:lang w:val="en-US" w:eastAsia="zh-CN" w:bidi="ar-SA"/>
        </w:rPr>
        <w:t>设</w:t>
      </w:r>
      <w:r>
        <w:rPr>
          <w:rFonts w:hint="default" w:asciiTheme="minorEastAsia" w:hAnsiTheme="minorEastAsia" w:eastAsiaTheme="minorEastAsia" w:cstheme="minorEastAsia"/>
          <w:kern w:val="2"/>
          <w:sz w:val="24"/>
          <w:szCs w:val="24"/>
          <w:highlight w:val="none"/>
          <w:lang w:val="en-US" w:eastAsia="zh-CN" w:bidi="ar-SA"/>
        </w:rPr>
        <w:t>课程教材</w:t>
      </w:r>
      <w:r>
        <w:rPr>
          <w:rFonts w:hint="eastAsia" w:asciiTheme="minorEastAsia" w:hAnsiTheme="minorEastAsia" w:eastAsiaTheme="minorEastAsia" w:cstheme="minorEastAsia"/>
          <w:kern w:val="2"/>
          <w:sz w:val="24"/>
          <w:szCs w:val="24"/>
          <w:highlight w:val="none"/>
          <w:lang w:val="en-US" w:eastAsia="zh-CN" w:bidi="ar-SA"/>
        </w:rPr>
        <w:t>。2023-2024</w:t>
      </w:r>
      <w:r>
        <w:rPr>
          <w:rFonts w:hint="default" w:asciiTheme="minorEastAsia" w:hAnsiTheme="minorEastAsia" w:eastAsiaTheme="minorEastAsia" w:cstheme="minorEastAsia"/>
          <w:kern w:val="2"/>
          <w:sz w:val="24"/>
          <w:szCs w:val="24"/>
          <w:highlight w:val="none"/>
          <w:lang w:val="en-US" w:eastAsia="zh-CN" w:bidi="ar-SA"/>
        </w:rPr>
        <w:t>学年</w:t>
      </w:r>
      <w:r>
        <w:rPr>
          <w:rFonts w:hint="eastAsia" w:asciiTheme="minorEastAsia" w:hAnsiTheme="minorEastAsia" w:eastAsiaTheme="minorEastAsia" w:cstheme="minorEastAsia"/>
          <w:kern w:val="2"/>
          <w:sz w:val="24"/>
          <w:szCs w:val="24"/>
          <w:highlight w:val="none"/>
          <w:lang w:val="en-US" w:eastAsia="zh-CN" w:bidi="ar-SA"/>
        </w:rPr>
        <w:t>获批</w:t>
      </w:r>
      <w:r>
        <w:rPr>
          <w:rFonts w:hint="default" w:asciiTheme="minorEastAsia" w:hAnsiTheme="minorEastAsia" w:eastAsiaTheme="minorEastAsia" w:cstheme="minorEastAsia"/>
          <w:kern w:val="2"/>
          <w:sz w:val="24"/>
          <w:szCs w:val="24"/>
          <w:highlight w:val="none"/>
          <w:lang w:val="en-US" w:eastAsia="zh-CN" w:bidi="ar-SA"/>
        </w:rPr>
        <w:t>立项</w:t>
      </w:r>
      <w:r>
        <w:rPr>
          <w:rFonts w:hint="eastAsia" w:asciiTheme="minorEastAsia" w:hAnsiTheme="minorEastAsia" w:eastAsiaTheme="minorEastAsia" w:cstheme="minorEastAsia"/>
          <w:kern w:val="2"/>
          <w:sz w:val="24"/>
          <w:szCs w:val="24"/>
          <w:highlight w:val="none"/>
          <w:lang w:val="en-US" w:eastAsia="zh-CN" w:bidi="ar-SA"/>
        </w:rPr>
        <w:t>省“十四五”四新重点教材3项；立项校级教材建设项目8项，其中</w:t>
      </w:r>
      <w:r>
        <w:rPr>
          <w:rFonts w:hint="default" w:asciiTheme="minorEastAsia" w:hAnsiTheme="minorEastAsia" w:eastAsiaTheme="minorEastAsia" w:cstheme="minorEastAsia"/>
          <w:kern w:val="2"/>
          <w:sz w:val="24"/>
          <w:szCs w:val="24"/>
          <w:highlight w:val="none"/>
          <w:lang w:val="en-US" w:eastAsia="zh-CN" w:bidi="ar-SA"/>
        </w:rPr>
        <w:t>校企合编教材5部</w:t>
      </w:r>
      <w:bookmarkEnd w:id="38"/>
      <w:bookmarkEnd w:id="39"/>
      <w:bookmarkEnd w:id="40"/>
      <w:r>
        <w:rPr>
          <w:rFonts w:hint="eastAsia" w:asciiTheme="minorEastAsia" w:hAnsiTheme="minorEastAsia" w:eastAsiaTheme="minorEastAsia" w:cstheme="minorEastAsia"/>
          <w:kern w:val="2"/>
          <w:sz w:val="24"/>
          <w:szCs w:val="24"/>
          <w:highlight w:val="none"/>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outlineLvl w:val="1"/>
        <w:rPr>
          <w:rFonts w:hint="eastAsia" w:ascii="黑体" w:hAnsi="黑体" w:eastAsia="黑体" w:cs="黑体"/>
          <w:b w:val="0"/>
          <w:bCs w:val="0"/>
          <w:color w:val="auto"/>
          <w:kern w:val="2"/>
          <w:sz w:val="28"/>
          <w:szCs w:val="28"/>
          <w:lang w:val="en-US" w:eastAsia="zh-CN" w:bidi="ar-SA"/>
        </w:rPr>
      </w:pPr>
      <w:bookmarkStart w:id="41" w:name="_Toc19057"/>
      <w:r>
        <w:rPr>
          <w:rFonts w:hint="eastAsia" w:ascii="黑体" w:hAnsi="黑体" w:eastAsia="黑体" w:cs="黑体"/>
          <w:b w:val="0"/>
          <w:bCs w:val="0"/>
          <w:color w:val="auto"/>
          <w:kern w:val="2"/>
          <w:sz w:val="28"/>
          <w:szCs w:val="28"/>
          <w:lang w:val="en-US" w:eastAsia="zh-CN" w:bidi="ar-SA"/>
        </w:rPr>
        <w:t>（五）创新创业教育</w:t>
      </w:r>
      <w:bookmarkEnd w:id="41"/>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2"/>
        <w:rPr>
          <w:rFonts w:hint="eastAsia" w:ascii="黑体" w:hAnsi="黑体" w:eastAsia="黑体" w:cs="黑体"/>
          <w:b w:val="0"/>
          <w:bCs w:val="0"/>
          <w:color w:val="auto"/>
          <w:kern w:val="2"/>
          <w:sz w:val="24"/>
          <w:szCs w:val="24"/>
          <w:lang w:val="en-US" w:eastAsia="zh-CN" w:bidi="ar-SA"/>
        </w:rPr>
      </w:pPr>
      <w:r>
        <w:rPr>
          <w:rFonts w:hint="eastAsia" w:ascii="黑体" w:hAnsi="黑体" w:eastAsia="黑体" w:cs="黑体"/>
          <w:b w:val="0"/>
          <w:bCs w:val="0"/>
          <w:color w:val="auto"/>
          <w:kern w:val="2"/>
          <w:sz w:val="24"/>
          <w:szCs w:val="24"/>
          <w:lang w:val="en-US" w:eastAsia="zh-CN" w:bidi="ar-SA"/>
        </w:rPr>
        <w:t>1.强化创新创业教育</w:t>
      </w:r>
    </w:p>
    <w:p>
      <w:pPr>
        <w:keepNext w:val="0"/>
        <w:keepLines w:val="0"/>
        <w:pageBreakBefore w:val="0"/>
        <w:widowControl w:val="0"/>
        <w:kinsoku/>
        <w:wordWrap/>
        <w:overflowPunct/>
        <w:topLinePunct w:val="0"/>
        <w:autoSpaceDE/>
        <w:autoSpaceDN/>
        <w:bidi w:val="0"/>
        <w:adjustRightInd w:val="0"/>
        <w:snapToGrid w:val="0"/>
        <w:spacing w:line="400" w:lineRule="exact"/>
        <w:ind w:left="0" w:firstLine="480" w:firstLineChars="200"/>
        <w:jc w:val="both"/>
        <w:textAlignment w:val="auto"/>
        <w:rPr>
          <w:rFonts w:hint="eastAsia" w:ascii="宋体" w:hAnsi="宋体" w:eastAsia="宋体" w:cs="宋体"/>
          <w:sz w:val="24"/>
          <w:szCs w:val="24"/>
          <w:highlight w:val="none"/>
        </w:rPr>
      </w:pPr>
      <w:r>
        <w:rPr>
          <w:rFonts w:hint="eastAsia" w:asciiTheme="minorEastAsia" w:hAnsiTheme="minorEastAsia" w:eastAsiaTheme="minorEastAsia" w:cstheme="minorEastAsia"/>
          <w:kern w:val="2"/>
          <w:sz w:val="24"/>
          <w:szCs w:val="24"/>
          <w:highlight w:val="none"/>
          <w:lang w:val="en-US" w:eastAsia="zh-CN" w:bidi="ar-SA"/>
        </w:rPr>
        <w:t>学校高度重视创新创业教育，积极构建国家、省、校、院四级“大学生创新创业训练计划”体系。鼓励和倡导学生积极参与学科竞赛、科技、文化、社团及社会实践活动，将第二课堂内容纳入人才培养体系。明确要求学生在校期间可通过社会实践、竞赛、发表论文、发明专利、参加职业资格认证考试、参加研究性学习与创新性实验项目等方式获得创新学分，学生获得相应创新实践学分方可毕业。同时，学校开设创新创业通识必修课程，积极拓展创新创业活动与实践，通过创新创业大赛、创新创业讲座等方式，丰富教育形式，并为学生提供交流和合作的机会，增强学生创新创业思维，提升创新创业技能。2023-2024学年，我校学生公开发表论文33篇，其中SCI论文1篇，北大核心论文1篇，</w:t>
      </w:r>
      <w:r>
        <w:rPr>
          <w:rFonts w:hint="default" w:asciiTheme="minorEastAsia" w:hAnsiTheme="minorEastAsia" w:eastAsiaTheme="minorEastAsia" w:cstheme="minorEastAsia"/>
          <w:kern w:val="2"/>
          <w:sz w:val="24"/>
          <w:szCs w:val="24"/>
          <w:highlight w:val="none"/>
          <w:lang w:val="en-US" w:eastAsia="zh-CN" w:bidi="ar-SA"/>
        </w:rPr>
        <w:t>授权</w:t>
      </w:r>
      <w:r>
        <w:rPr>
          <w:rFonts w:hint="eastAsia" w:asciiTheme="minorEastAsia" w:hAnsiTheme="minorEastAsia" w:eastAsiaTheme="minorEastAsia" w:cstheme="minorEastAsia"/>
          <w:kern w:val="2"/>
          <w:sz w:val="24"/>
          <w:szCs w:val="24"/>
          <w:highlight w:val="none"/>
          <w:lang w:val="en-US" w:eastAsia="zh-CN" w:bidi="ar-SA"/>
        </w:rPr>
        <w:t>实用新型专利数2项，软件著作权2项。</w:t>
      </w:r>
    </w:p>
    <w:p>
      <w:pPr>
        <w:keepNext w:val="0"/>
        <w:keepLines w:val="0"/>
        <w:pageBreakBefore w:val="0"/>
        <w:widowControl w:val="0"/>
        <w:kinsoku/>
        <w:wordWrap/>
        <w:overflowPunct/>
        <w:topLinePunct w:val="0"/>
        <w:autoSpaceDE/>
        <w:autoSpaceDN/>
        <w:bidi w:val="0"/>
        <w:adjustRightInd w:val="0"/>
        <w:snapToGrid w:val="0"/>
        <w:spacing w:line="240" w:lineRule="auto"/>
        <w:jc w:val="both"/>
        <w:textAlignment w:val="auto"/>
        <w:outlineLvl w:val="2"/>
        <w:rPr>
          <w:rFonts w:hint="eastAsia" w:ascii="黑体" w:hAnsi="黑体" w:eastAsia="黑体" w:cs="黑体"/>
          <w:b w:val="0"/>
          <w:bCs w:val="0"/>
          <w:color w:val="auto"/>
          <w:kern w:val="2"/>
          <w:sz w:val="28"/>
          <w:szCs w:val="28"/>
          <w:lang w:val="en-US" w:eastAsia="zh-CN" w:bidi="ar-SA"/>
        </w:rPr>
      </w:pPr>
      <w:r>
        <w:rPr>
          <w:rFonts w:hint="eastAsia" w:ascii="黑体" w:hAnsi="黑体" w:eastAsia="黑体" w:cs="黑体"/>
          <w:b w:val="0"/>
          <w:bCs w:val="0"/>
          <w:color w:val="auto"/>
          <w:kern w:val="2"/>
          <w:sz w:val="24"/>
          <w:szCs w:val="24"/>
          <w:lang w:val="en-US" w:eastAsia="zh-CN" w:bidi="ar-SA"/>
        </w:rPr>
        <w:t>2.“以赛促学”提升创新能力</w:t>
      </w:r>
    </w:p>
    <w:p>
      <w:pPr>
        <w:keepNext w:val="0"/>
        <w:keepLines w:val="0"/>
        <w:pageBreakBefore w:val="0"/>
        <w:widowControl w:val="0"/>
        <w:kinsoku/>
        <w:wordWrap/>
        <w:overflowPunct/>
        <w:topLinePunct w:val="0"/>
        <w:autoSpaceDE/>
        <w:autoSpaceDN/>
        <w:bidi w:val="0"/>
        <w:adjustRightInd/>
        <w:snapToGrid/>
        <w:spacing w:line="400" w:lineRule="exact"/>
        <w:ind w:left="0" w:firstLine="480" w:firstLineChars="200"/>
        <w:jc w:val="both"/>
        <w:textAlignment w:val="auto"/>
        <w:outlineLvl w:val="9"/>
        <w:rPr>
          <w:rFonts w:hint="default"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本学年为进一步提升学科竞赛水平，推进大学生学科竞赛工作制度化、规范化、科学化，提高学校师生参与的积极性，促进学生的创新能力和实践能力，学校修订了《湖州学院大学生学科竞赛管理办法》《湖州学院大学生学科竞赛实施细则》两个文件，对学科竞赛相关工作提出进一步要求，把学科竞赛、社团建设等工作与专业学习、专业实践紧密结合起来，力求以学科竞赛为抓手，培养学生的创新创业能力，形成“一专业一竞赛”机制。本学年学校组织参与A类学科竞赛74项，共获国家级一等奖13项、国家级二等奖22项、国家级三等奖38项，国家级优秀奖3项，省级以上获奖共计326项，体育竞赛获奖17项（其中国家级优秀运动员1项，省级优秀运动员1项）。2023-2024学年A类学科竞赛国家级奖项获奖情况见表6。</w:t>
      </w:r>
    </w:p>
    <w:tbl>
      <w:tblPr>
        <w:tblStyle w:val="13"/>
        <w:tblpPr w:leftFromText="180" w:rightFromText="180" w:vertAnchor="text" w:tblpX="10214" w:tblpY="-1029"/>
        <w:tblOverlap w:val="never"/>
        <w:tblW w:w="180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108" w:type="dxa"/>
          <w:bottom w:w="0" w:type="dxa"/>
          <w:right w:w="108" w:type="dxa"/>
        </w:tblCellMar>
      </w:tblPr>
      <w:tblGrid>
        <w:gridCol w:w="1802"/>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rPr>
          <w:trHeight w:val="30" w:hRule="atLeast"/>
        </w:trPr>
        <w:tc>
          <w:tcPr>
            <w:tcW w:w="1802" w:type="dxa"/>
            <w:noWrap w:val="0"/>
            <w:vAlign w:val="top"/>
          </w:tcPr>
          <w:p>
            <w:pPr>
              <w:pStyle w:val="16"/>
              <w:keepNext w:val="0"/>
              <w:keepLines w:val="0"/>
              <w:pageBreakBefore w:val="0"/>
              <w:widowControl w:val="0"/>
              <w:kinsoku/>
              <w:wordWrap/>
              <w:overflowPunct/>
              <w:topLinePunct w:val="0"/>
              <w:bidi w:val="0"/>
              <w:snapToGrid/>
              <w:spacing w:line="400" w:lineRule="exact"/>
              <w:jc w:val="center"/>
              <w:textAlignment w:val="auto"/>
              <w:rPr>
                <w:rFonts w:hint="eastAsia" w:ascii="宋体" w:hAnsi="宋体" w:eastAsia="宋体" w:cs="宋体"/>
                <w:color w:val="auto"/>
                <w:kern w:val="2"/>
                <w:sz w:val="21"/>
                <w:szCs w:val="21"/>
                <w:vertAlign w:val="baseline"/>
                <w:lang w:val="en-US" w:eastAsia="zh-CN" w:bidi="ar-SA"/>
              </w:rPr>
            </w:pPr>
          </w:p>
        </w:tc>
      </w:tr>
    </w:tbl>
    <w:p>
      <w:pPr>
        <w:pStyle w:val="16"/>
        <w:keepNext w:val="0"/>
        <w:keepLines w:val="0"/>
        <w:pageBreakBefore w:val="0"/>
        <w:widowControl w:val="0"/>
        <w:kinsoku/>
        <w:wordWrap/>
        <w:overflowPunct/>
        <w:topLinePunct w:val="0"/>
        <w:bidi w:val="0"/>
        <w:snapToGrid/>
        <w:spacing w:line="400" w:lineRule="exact"/>
        <w:ind w:firstLine="422" w:firstLineChars="200"/>
        <w:jc w:val="center"/>
        <w:textAlignment w:val="auto"/>
        <w:rPr>
          <w:rFonts w:hint="eastAsia" w:ascii="Times New Roman" w:hAnsi="Times New Roman" w:eastAsia="宋体" w:cs="Times New Roman"/>
          <w:b/>
          <w:bCs/>
          <w:color w:val="auto"/>
          <w:kern w:val="2"/>
          <w:sz w:val="21"/>
          <w:szCs w:val="21"/>
          <w:lang w:val="en-US" w:eastAsia="zh-CN" w:bidi="ar-SA"/>
        </w:rPr>
      </w:pPr>
    </w:p>
    <w:p>
      <w:pPr>
        <w:pStyle w:val="16"/>
        <w:keepNext w:val="0"/>
        <w:keepLines w:val="0"/>
        <w:pageBreakBefore w:val="0"/>
        <w:widowControl w:val="0"/>
        <w:kinsoku/>
        <w:wordWrap/>
        <w:overflowPunct/>
        <w:topLinePunct w:val="0"/>
        <w:bidi w:val="0"/>
        <w:snapToGrid/>
        <w:spacing w:line="400" w:lineRule="exact"/>
        <w:ind w:firstLine="420" w:firstLineChars="200"/>
        <w:jc w:val="center"/>
        <w:textAlignment w:val="auto"/>
        <w:rPr>
          <w:rFonts w:hint="default" w:ascii="宋体" w:hAnsi="宋体" w:eastAsia="宋体" w:cs="宋体"/>
          <w:color w:val="auto"/>
          <w:kern w:val="2"/>
          <w:sz w:val="21"/>
          <w:szCs w:val="21"/>
          <w:lang w:val="en-US" w:eastAsia="zh-CN" w:bidi="ar-SA"/>
        </w:rPr>
      </w:pPr>
      <w:r>
        <w:rPr>
          <w:rFonts w:hint="eastAsia" w:asciiTheme="minorEastAsia" w:hAnsiTheme="minorEastAsia" w:eastAsiaTheme="minorEastAsia" w:cstheme="minorEastAsia"/>
          <w:b w:val="0"/>
          <w:bCs w:val="0"/>
          <w:color w:val="auto"/>
          <w:kern w:val="2"/>
          <w:sz w:val="21"/>
          <w:szCs w:val="21"/>
          <w:lang w:val="en-US" w:eastAsia="zh-CN" w:bidi="ar-SA"/>
        </w:rPr>
        <w:t>表6  2023-2024学年A类学科竞赛国家级奖项获奖情况</w:t>
      </w:r>
    </w:p>
    <w:tbl>
      <w:tblPr>
        <w:tblStyle w:val="12"/>
        <w:tblW w:w="8596" w:type="dxa"/>
        <w:jc w:val="center"/>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Layout w:type="fixed"/>
        <w:tblCellMar>
          <w:top w:w="0" w:type="dxa"/>
          <w:left w:w="108" w:type="dxa"/>
          <w:bottom w:w="0" w:type="dxa"/>
          <w:right w:w="108" w:type="dxa"/>
        </w:tblCellMar>
      </w:tblPr>
      <w:tblGrid>
        <w:gridCol w:w="655"/>
        <w:gridCol w:w="2976"/>
        <w:gridCol w:w="993"/>
        <w:gridCol w:w="993"/>
        <w:gridCol w:w="993"/>
        <w:gridCol w:w="993"/>
        <w:gridCol w:w="993"/>
      </w:tblGrid>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357" w:hRule="atLeast"/>
          <w:tblHeader/>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default"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序号</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项目名称</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一等奖</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default"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二等奖</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default"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三等奖</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default"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优秀奖</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pStyle w:val="16"/>
              <w:keepNext w:val="0"/>
              <w:keepLines w:val="0"/>
              <w:pageBreakBefore w:val="0"/>
              <w:kinsoku/>
              <w:wordWrap/>
              <w:overflowPunct/>
              <w:topLinePunct w:val="0"/>
              <w:bidi w:val="0"/>
              <w:spacing w:line="240" w:lineRule="auto"/>
              <w:jc w:val="center"/>
              <w:rPr>
                <w:rFonts w:hint="default"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合计</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3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default" w:ascii="宋体" w:hAnsi="宋体" w:eastAsia="宋体" w:cs="宋体"/>
                <w:b w:val="0"/>
                <w:bCs w:val="0"/>
                <w:color w:val="000000"/>
                <w:sz w:val="21"/>
                <w:szCs w:val="21"/>
                <w:lang w:val="en-US" w:eastAsia="zh-CN"/>
              </w:rPr>
            </w:pPr>
            <w:r>
              <w:rPr>
                <w:rFonts w:hint="default" w:ascii="Times New Roman" w:hAnsi="Times New Roman" w:cs="Times New Roman" w:eastAsiaTheme="minorEastAsia"/>
                <w:kern w:val="2"/>
                <w:sz w:val="21"/>
                <w:szCs w:val="21"/>
                <w:highlight w:val="none"/>
                <w:lang w:val="en-US" w:eastAsia="zh-CN" w:bidi="ar-SA"/>
              </w:rPr>
              <w:t>1</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宋体" w:hAnsi="宋体" w:eastAsia="宋体" w:cs="宋体"/>
                <w:b w:val="0"/>
                <w:bCs w:val="0"/>
                <w:color w:val="000000"/>
                <w:sz w:val="21"/>
                <w:szCs w:val="21"/>
                <w:lang w:val="en-US" w:eastAsia="zh-CN"/>
              </w:rPr>
            </w:pPr>
            <w:r>
              <w:rPr>
                <w:rFonts w:hint="eastAsia" w:asciiTheme="minorEastAsia" w:hAnsiTheme="minorEastAsia" w:eastAsiaTheme="minorEastAsia" w:cstheme="minorEastAsia"/>
                <w:color w:val="auto"/>
                <w:kern w:val="2"/>
                <w:sz w:val="21"/>
                <w:szCs w:val="21"/>
                <w:highlight w:val="none"/>
                <w:lang w:val="en-US" w:eastAsia="zh-CN" w:bidi="ar-SA"/>
              </w:rPr>
              <w:t>睿抗机器人开发者大赛（RAICOM）</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2</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3</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6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2</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中国机器人大赛暨RoboCup机器人世界杯中国赛</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6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3</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第二十五届中国机器人及人工智能大赛</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3</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2</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4</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9</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6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4</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第十一届全国大学生数字媒体科技作品及创意竞赛</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2</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2</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4</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6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5</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蓝桥杯全国软件和信息技术专业人才大赛</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2</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3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6</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全国大学生光电设计竞赛</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6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7</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第九届全国大学生生命科学竞赛（创新创业类）</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2</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3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8</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全国大学生化工设计竞赛</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6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9</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十七届“高教杯”全国大学生先进成图技术与产品信息建模创新大赛</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4</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5</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3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10</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 xml:space="preserve">第十三届全国大学生金相技能大赛 </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2</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4</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7</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6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11</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第十一届全国大学生机械创新设计大赛</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3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12</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西门子杯中国智能制造挑战赛</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3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13</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中国大学生计算机设计大赛</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6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14</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中华经典诵写讲大赛“笔墨中国”汉字书写大赛</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6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15</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全国高校商业精英挑战赛国际贸易竞赛（国际贸易业务模拟赛道）</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4</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3</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8</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6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16</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第十二届未来设计师·全国高校艺术设计大赛</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3</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4</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8</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15</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6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17</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第八届米兰设计周-中国高校设计学科师生优秀作品展</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2</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4</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6</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3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18</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第十二届全国大学生广告艺术大赛</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3</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4</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357" w:hRule="atLeast"/>
          <w:jc w:val="center"/>
        </w:trPr>
        <w:tc>
          <w:tcPr>
            <w:tcW w:w="655"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19</w:t>
            </w:r>
          </w:p>
        </w:tc>
        <w:tc>
          <w:tcPr>
            <w:tcW w:w="2976"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第十八届中国好创意大赛</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4</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0</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4</w:t>
            </w:r>
          </w:p>
        </w:tc>
      </w:tr>
      <w:tr>
        <w:tblPrEx>
          <w:tblBorders>
            <w:top w:val="single" w:color="4684D3" w:sz="8" w:space="0"/>
            <w:left w:val="single" w:color="4684D3" w:sz="8" w:space="0"/>
            <w:bottom w:val="single" w:color="4684D3" w:sz="8" w:space="0"/>
            <w:right w:val="single" w:color="4684D3" w:sz="8" w:space="0"/>
            <w:insideH w:val="single" w:color="4684D3" w:sz="4" w:space="0"/>
            <w:insideV w:val="single" w:color="4684D3" w:sz="4" w:space="0"/>
          </w:tblBorders>
          <w:tblCellMar>
            <w:top w:w="0" w:type="dxa"/>
            <w:left w:w="108" w:type="dxa"/>
            <w:bottom w:w="0" w:type="dxa"/>
            <w:right w:w="108" w:type="dxa"/>
          </w:tblCellMar>
        </w:tblPrEx>
        <w:trPr>
          <w:trHeight w:val="386" w:hRule="atLeast"/>
          <w:jc w:val="center"/>
        </w:trPr>
        <w:tc>
          <w:tcPr>
            <w:tcW w:w="3631" w:type="dxa"/>
            <w:gridSpan w:val="2"/>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default"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合计</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13</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22</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38</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3</w:t>
            </w:r>
          </w:p>
        </w:tc>
        <w:tc>
          <w:tcPr>
            <w:tcW w:w="993" w:type="dxa"/>
            <w:tcBorders>
              <w:top w:val="single" w:color="000000" w:sz="4" w:space="0"/>
              <w:left w:val="single" w:color="000000" w:sz="4" w:space="0"/>
              <w:bottom w:val="single" w:color="000000" w:sz="4" w:space="0"/>
              <w:right w:val="single" w:color="000000" w:sz="4" w:space="0"/>
              <w:tl2br w:val="nil"/>
              <w:tr2bl w:val="nil"/>
            </w:tcBorders>
            <w:shd w:val="clear" w:color="auto" w:fill="auto"/>
            <w:noWrap w:val="0"/>
            <w:vAlign w:val="center"/>
          </w:tcPr>
          <w:p>
            <w:pPr>
              <w:keepNext w:val="0"/>
              <w:keepLines w:val="0"/>
              <w:widowControl/>
              <w:suppressLineNumbers w:val="0"/>
              <w:jc w:val="center"/>
              <w:textAlignment w:val="center"/>
              <w:rPr>
                <w:rFonts w:hint="eastAsia" w:ascii="Times New Roman" w:hAnsi="Times New Roman" w:cs="Times New Roman" w:eastAsiaTheme="minorEastAsia"/>
                <w:kern w:val="2"/>
                <w:sz w:val="21"/>
                <w:szCs w:val="21"/>
                <w:highlight w:val="none"/>
                <w:lang w:val="en-US" w:eastAsia="zh-CN" w:bidi="ar-SA"/>
              </w:rPr>
            </w:pPr>
            <w:r>
              <w:rPr>
                <w:rFonts w:hint="eastAsia" w:ascii="Times New Roman" w:hAnsi="Times New Roman" w:cs="Times New Roman" w:eastAsiaTheme="minorEastAsia"/>
                <w:kern w:val="2"/>
                <w:sz w:val="21"/>
                <w:szCs w:val="21"/>
                <w:highlight w:val="none"/>
                <w:lang w:val="en-US" w:eastAsia="zh-CN" w:bidi="ar-SA"/>
              </w:rPr>
              <w:t>76</w:t>
            </w:r>
          </w:p>
        </w:tc>
      </w:tr>
    </w:tbl>
    <w:p>
      <w:pPr>
        <w:keepNext w:val="0"/>
        <w:keepLines w:val="0"/>
        <w:pageBreakBefore w:val="0"/>
        <w:widowControl w:val="0"/>
        <w:kinsoku/>
        <w:wordWrap/>
        <w:overflowPunct/>
        <w:topLinePunct w:val="0"/>
        <w:autoSpaceDE/>
        <w:autoSpaceDN/>
        <w:bidi w:val="0"/>
        <w:adjustRightInd w:val="0"/>
        <w:snapToGrid w:val="0"/>
        <w:spacing w:line="240" w:lineRule="auto"/>
        <w:jc w:val="both"/>
        <w:textAlignment w:val="auto"/>
        <w:rPr>
          <w:rFonts w:hint="eastAsia" w:ascii="黑体" w:hAnsi="黑体" w:eastAsia="黑体" w:cs="黑体"/>
          <w:b w:val="0"/>
          <w:bCs w:val="0"/>
          <w:color w:val="auto"/>
          <w:kern w:val="2"/>
          <w:sz w:val="28"/>
          <w:szCs w:val="28"/>
          <w:lang w:val="en-US" w:eastAsia="zh-CN" w:bidi="ar-SA"/>
        </w:rPr>
      </w:pPr>
    </w:p>
    <w:p>
      <w:pPr>
        <w:keepNext w:val="0"/>
        <w:keepLines w:val="0"/>
        <w:pageBreakBefore w:val="0"/>
        <w:widowControl w:val="0"/>
        <w:kinsoku/>
        <w:wordWrap/>
        <w:overflowPunct/>
        <w:topLinePunct w:val="0"/>
        <w:autoSpaceDE/>
        <w:autoSpaceDN/>
        <w:bidi w:val="0"/>
        <w:adjustRightInd w:val="0"/>
        <w:snapToGrid w:val="0"/>
        <w:spacing w:line="240" w:lineRule="auto"/>
        <w:jc w:val="both"/>
        <w:textAlignment w:val="auto"/>
        <w:outlineLvl w:val="2"/>
        <w:rPr>
          <w:rFonts w:hint="eastAsia" w:ascii="黑体" w:hAnsi="黑体" w:eastAsia="黑体" w:cs="黑体"/>
          <w:b w:val="0"/>
          <w:bCs w:val="0"/>
          <w:color w:val="auto"/>
          <w:kern w:val="2"/>
          <w:sz w:val="28"/>
          <w:szCs w:val="28"/>
          <w:lang w:val="en-US" w:eastAsia="zh-CN" w:bidi="ar-SA"/>
        </w:rPr>
      </w:pPr>
      <w:r>
        <w:rPr>
          <w:rFonts w:hint="eastAsia" w:ascii="黑体" w:hAnsi="黑体" w:eastAsia="黑体" w:cs="黑体"/>
          <w:b w:val="0"/>
          <w:bCs w:val="0"/>
          <w:color w:val="auto"/>
          <w:kern w:val="2"/>
          <w:sz w:val="24"/>
          <w:szCs w:val="24"/>
          <w:lang w:val="en-US" w:eastAsia="zh-CN" w:bidi="ar-SA"/>
        </w:rPr>
        <w:t>3.加强创新创业项目建设</w:t>
      </w:r>
    </w:p>
    <w:p>
      <w:pPr>
        <w:keepNext w:val="0"/>
        <w:keepLines w:val="0"/>
        <w:pageBreakBefore w:val="0"/>
        <w:widowControl w:val="0"/>
        <w:kinsoku/>
        <w:wordWrap/>
        <w:overflowPunct/>
        <w:topLinePunct w:val="0"/>
        <w:autoSpaceDE/>
        <w:autoSpaceDN/>
        <w:bidi w:val="0"/>
        <w:adjustRightInd/>
        <w:snapToGrid/>
        <w:spacing w:line="400" w:lineRule="exact"/>
        <w:ind w:left="0" w:firstLine="480" w:firstLineChars="200"/>
        <w:jc w:val="both"/>
        <w:textAlignment w:val="auto"/>
        <w:outlineLvl w:val="9"/>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学校秉持“立足兴趣、鼓励创新、交叉联合、突出重点、注重过程”的原则，致力于通过创新创业教育，培养具有创新精神、创业意识和实践能力的高素质应用型人才。在学校“大学生创新创业训练计划”工作小组和专家委员会的带领下，本学年共立项建设国家级大学生创新创业训练项目30项，省级大学生创新创业训练项目60项，校级大学生创新创业训练项目131项，累计参与学生510人次；获“建行杯”浙江省国际大学生创新大赛银奖1项；浙江省新苗人才计划立项4项；目前学校创业园内有7家创业公司，其中完成工商注册4家。</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outlineLvl w:val="1"/>
        <w:rPr>
          <w:rFonts w:hint="eastAsia" w:ascii="黑体" w:hAnsi="黑体" w:eastAsia="黑体" w:cs="黑体"/>
          <w:b w:val="0"/>
          <w:bCs w:val="0"/>
          <w:color w:val="auto"/>
          <w:kern w:val="2"/>
          <w:sz w:val="28"/>
          <w:szCs w:val="28"/>
          <w:lang w:val="en-US" w:eastAsia="zh-CN" w:bidi="ar-SA"/>
        </w:rPr>
      </w:pPr>
      <w:bookmarkStart w:id="42" w:name="_Toc21441"/>
      <w:r>
        <w:rPr>
          <w:rFonts w:hint="eastAsia" w:ascii="黑体" w:hAnsi="黑体" w:eastAsia="黑体" w:cs="黑体"/>
          <w:b w:val="0"/>
          <w:bCs w:val="0"/>
          <w:color w:val="auto"/>
          <w:kern w:val="2"/>
          <w:sz w:val="28"/>
          <w:szCs w:val="28"/>
          <w:lang w:val="en-US" w:eastAsia="zh-CN" w:bidi="ar-SA"/>
        </w:rPr>
        <w:t>（六）教学改革</w:t>
      </w:r>
      <w:bookmarkEnd w:id="42"/>
    </w:p>
    <w:p>
      <w:pPr>
        <w:keepNext w:val="0"/>
        <w:keepLines w:val="0"/>
        <w:pageBreakBefore w:val="0"/>
        <w:widowControl w:val="0"/>
        <w:kinsoku/>
        <w:wordWrap/>
        <w:overflowPunct/>
        <w:topLinePunct w:val="0"/>
        <w:autoSpaceDE/>
        <w:autoSpaceDN/>
        <w:bidi w:val="0"/>
        <w:adjustRightInd/>
        <w:snapToGrid/>
        <w:spacing w:line="400" w:lineRule="exact"/>
        <w:ind w:left="0" w:firstLine="480" w:firstLineChars="200"/>
        <w:jc w:val="both"/>
        <w:textAlignment w:val="auto"/>
        <w:outlineLvl w:val="9"/>
        <w:rPr>
          <w:rFonts w:hint="default" w:asciiTheme="minorEastAsia" w:hAnsiTheme="minorEastAsia" w:eastAsiaTheme="minorEastAsia" w:cstheme="minorEastAsia"/>
          <w:kern w:val="2"/>
          <w:sz w:val="24"/>
          <w:szCs w:val="24"/>
          <w:highlight w:val="none"/>
          <w:lang w:val="en-US" w:eastAsia="zh-CN" w:bidi="ar-SA"/>
        </w:rPr>
      </w:pPr>
      <w:r>
        <w:rPr>
          <w:rFonts w:hint="default" w:asciiTheme="minorEastAsia" w:hAnsiTheme="minorEastAsia" w:eastAsiaTheme="minorEastAsia" w:cstheme="minorEastAsia"/>
          <w:kern w:val="2"/>
          <w:sz w:val="24"/>
          <w:szCs w:val="24"/>
          <w:highlight w:val="none"/>
          <w:lang w:val="en-US" w:eastAsia="zh-CN" w:bidi="ar-SA"/>
        </w:rPr>
        <w:t>立足课堂教学，推</w:t>
      </w:r>
      <w:r>
        <w:rPr>
          <w:rFonts w:hint="eastAsia" w:asciiTheme="minorEastAsia" w:hAnsiTheme="minorEastAsia" w:eastAsiaTheme="minorEastAsia" w:cstheme="minorEastAsia"/>
          <w:kern w:val="2"/>
          <w:sz w:val="24"/>
          <w:szCs w:val="24"/>
          <w:highlight w:val="none"/>
          <w:lang w:val="en-US" w:eastAsia="zh-CN" w:bidi="ar-SA"/>
        </w:rPr>
        <w:t>进模式创新</w:t>
      </w:r>
      <w:r>
        <w:rPr>
          <w:rFonts w:hint="default" w:asciiTheme="minorEastAsia" w:hAnsiTheme="minorEastAsia" w:eastAsiaTheme="minorEastAsia" w:cstheme="minorEastAsia"/>
          <w:kern w:val="2"/>
          <w:sz w:val="24"/>
          <w:szCs w:val="24"/>
          <w:highlight w:val="none"/>
          <w:lang w:val="en-US" w:eastAsia="zh-CN" w:bidi="ar-SA"/>
        </w:rPr>
        <w:t>。实施《</w:t>
      </w:r>
      <w:r>
        <w:rPr>
          <w:rFonts w:hint="eastAsia" w:asciiTheme="minorEastAsia" w:hAnsiTheme="minorEastAsia" w:eastAsiaTheme="minorEastAsia" w:cstheme="minorEastAsia"/>
          <w:kern w:val="2"/>
          <w:sz w:val="24"/>
          <w:szCs w:val="24"/>
          <w:highlight w:val="none"/>
          <w:lang w:val="en-US" w:eastAsia="zh-CN" w:bidi="ar-SA"/>
        </w:rPr>
        <w:t>湖州学院</w:t>
      </w:r>
      <w:r>
        <w:rPr>
          <w:rFonts w:hint="default" w:asciiTheme="minorEastAsia" w:hAnsiTheme="minorEastAsia" w:eastAsiaTheme="minorEastAsia" w:cstheme="minorEastAsia"/>
          <w:kern w:val="2"/>
          <w:sz w:val="24"/>
          <w:szCs w:val="24"/>
          <w:highlight w:val="none"/>
          <w:lang w:val="en-US" w:eastAsia="zh-CN" w:bidi="ar-SA"/>
        </w:rPr>
        <w:t>优质课堂认定及奖励办法》，对一流课程、名师课程和学评教三类符合条件的优质课堂进行奖励，202</w:t>
      </w:r>
      <w:r>
        <w:rPr>
          <w:rFonts w:hint="eastAsia" w:asciiTheme="minorEastAsia" w:hAnsiTheme="minorEastAsia" w:eastAsiaTheme="minorEastAsia" w:cstheme="minorEastAsia"/>
          <w:kern w:val="2"/>
          <w:sz w:val="24"/>
          <w:szCs w:val="24"/>
          <w:highlight w:val="none"/>
          <w:lang w:val="en-US" w:eastAsia="zh-CN" w:bidi="ar-SA"/>
        </w:rPr>
        <w:t>3</w:t>
      </w:r>
      <w:r>
        <w:rPr>
          <w:rFonts w:hint="default" w:asciiTheme="minorEastAsia" w:hAnsiTheme="minorEastAsia" w:eastAsiaTheme="minorEastAsia" w:cstheme="minorEastAsia"/>
          <w:kern w:val="2"/>
          <w:sz w:val="24"/>
          <w:szCs w:val="24"/>
          <w:highlight w:val="none"/>
          <w:lang w:val="en-US" w:eastAsia="zh-CN" w:bidi="ar-SA"/>
        </w:rPr>
        <w:t>年共奖励优质课堂</w:t>
      </w:r>
      <w:r>
        <w:rPr>
          <w:rFonts w:hint="eastAsia" w:asciiTheme="minorEastAsia" w:hAnsiTheme="minorEastAsia" w:eastAsiaTheme="minorEastAsia" w:cstheme="minorEastAsia"/>
          <w:kern w:val="2"/>
          <w:sz w:val="24"/>
          <w:szCs w:val="24"/>
          <w:highlight w:val="none"/>
          <w:lang w:val="en-US" w:eastAsia="zh-CN" w:bidi="ar-SA"/>
        </w:rPr>
        <w:t>1900.81</w:t>
      </w:r>
      <w:r>
        <w:rPr>
          <w:rFonts w:hint="default" w:asciiTheme="minorEastAsia" w:hAnsiTheme="minorEastAsia" w:eastAsiaTheme="minorEastAsia" w:cstheme="minorEastAsia"/>
          <w:kern w:val="2"/>
          <w:sz w:val="24"/>
          <w:szCs w:val="24"/>
          <w:highlight w:val="none"/>
          <w:lang w:val="en-US" w:eastAsia="zh-CN" w:bidi="ar-SA"/>
        </w:rPr>
        <w:t>课时。以课程建设为抓手，以提高课堂教学质量为目标，积极引导教师根据专业和课程特点开展线上线下混合式、研讨式、启发式、项目式等课堂教学模式创新</w:t>
      </w:r>
      <w:r>
        <w:rPr>
          <w:rFonts w:hint="eastAsia" w:asciiTheme="minorEastAsia" w:hAnsiTheme="minorEastAsia" w:eastAsiaTheme="minorEastAsia" w:cstheme="minorEastAsia"/>
          <w:kern w:val="2"/>
          <w:sz w:val="24"/>
          <w:szCs w:val="24"/>
          <w:highlight w:val="none"/>
          <w:lang w:val="en-US" w:eastAsia="zh-CN" w:bidi="ar-SA"/>
        </w:rPr>
        <w:t>，提高学生参与度，激发学生学习兴趣，切实提升课堂教学质量</w:t>
      </w:r>
      <w:r>
        <w:rPr>
          <w:rFonts w:hint="default" w:asciiTheme="minorEastAsia" w:hAnsiTheme="minorEastAsia" w:eastAsiaTheme="minorEastAsia" w:cstheme="minorEastAsia"/>
          <w:kern w:val="2"/>
          <w:sz w:val="24"/>
          <w:szCs w:val="24"/>
          <w:highlight w:val="none"/>
          <w:lang w:val="en-US" w:eastAsia="zh-CN" w:bidi="ar-SA"/>
        </w:rPr>
        <w:t>。</w:t>
      </w:r>
    </w:p>
    <w:p>
      <w:pPr>
        <w:keepNext w:val="0"/>
        <w:keepLines w:val="0"/>
        <w:pageBreakBefore w:val="0"/>
        <w:widowControl w:val="0"/>
        <w:kinsoku/>
        <w:wordWrap/>
        <w:overflowPunct/>
        <w:topLinePunct w:val="0"/>
        <w:autoSpaceDE/>
        <w:autoSpaceDN/>
        <w:bidi w:val="0"/>
        <w:adjustRightInd/>
        <w:snapToGrid/>
        <w:spacing w:line="400" w:lineRule="exact"/>
        <w:ind w:left="0" w:firstLine="480" w:firstLineChars="200"/>
        <w:jc w:val="both"/>
        <w:textAlignment w:val="auto"/>
        <w:outlineLvl w:val="9"/>
        <w:rPr>
          <w:rFonts w:hint="default" w:asciiTheme="minorEastAsia" w:hAnsiTheme="minorEastAsia" w:eastAsiaTheme="minorEastAsia" w:cstheme="minorEastAsia"/>
          <w:kern w:val="2"/>
          <w:sz w:val="24"/>
          <w:szCs w:val="24"/>
          <w:highlight w:val="none"/>
          <w:lang w:val="en-US" w:eastAsia="zh-CN" w:bidi="ar-SA"/>
        </w:rPr>
      </w:pPr>
      <w:r>
        <w:rPr>
          <w:rFonts w:hint="default" w:asciiTheme="minorEastAsia" w:hAnsiTheme="minorEastAsia" w:eastAsiaTheme="minorEastAsia" w:cstheme="minorEastAsia"/>
          <w:kern w:val="2"/>
          <w:sz w:val="24"/>
          <w:szCs w:val="24"/>
          <w:highlight w:val="none"/>
          <w:lang w:val="en-US" w:eastAsia="zh-CN" w:bidi="ar-SA"/>
        </w:rPr>
        <w:t>依托教改项目，深化教学改革。学校鼓励教师积极申报各类教改项目，划拨专项建设经费，加强项目过程管理，保障项目建设质量。</w:t>
      </w:r>
      <w:r>
        <w:rPr>
          <w:rFonts w:hint="eastAsia" w:asciiTheme="minorEastAsia" w:hAnsiTheme="minorEastAsia" w:eastAsiaTheme="minorEastAsia" w:cstheme="minorEastAsia"/>
          <w:kern w:val="2"/>
          <w:sz w:val="24"/>
          <w:szCs w:val="24"/>
          <w:highlight w:val="none"/>
          <w:lang w:val="en-US" w:eastAsia="zh-CN" w:bidi="ar-SA"/>
        </w:rPr>
        <w:t>2023-2024</w:t>
      </w:r>
      <w:r>
        <w:rPr>
          <w:rFonts w:hint="default" w:asciiTheme="minorEastAsia" w:hAnsiTheme="minorEastAsia" w:eastAsiaTheme="minorEastAsia" w:cstheme="minorEastAsia"/>
          <w:kern w:val="2"/>
          <w:sz w:val="24"/>
          <w:szCs w:val="24"/>
          <w:highlight w:val="none"/>
          <w:lang w:val="en-US" w:eastAsia="zh-CN" w:bidi="ar-SA"/>
        </w:rPr>
        <w:t>学年立项202</w:t>
      </w:r>
      <w:r>
        <w:rPr>
          <w:rFonts w:hint="eastAsia" w:asciiTheme="minorEastAsia" w:hAnsiTheme="minorEastAsia" w:eastAsiaTheme="minorEastAsia" w:cstheme="minorEastAsia"/>
          <w:kern w:val="2"/>
          <w:sz w:val="24"/>
          <w:szCs w:val="24"/>
          <w:highlight w:val="none"/>
          <w:lang w:val="en-US" w:eastAsia="zh-CN" w:bidi="ar-SA"/>
        </w:rPr>
        <w:t>4</w:t>
      </w:r>
      <w:r>
        <w:rPr>
          <w:rFonts w:hint="default" w:asciiTheme="minorEastAsia" w:hAnsiTheme="minorEastAsia" w:eastAsiaTheme="minorEastAsia" w:cstheme="minorEastAsia"/>
          <w:kern w:val="2"/>
          <w:sz w:val="24"/>
          <w:szCs w:val="24"/>
          <w:highlight w:val="none"/>
          <w:lang w:val="en-US" w:eastAsia="zh-CN" w:bidi="ar-SA"/>
        </w:rPr>
        <w:t>年</w:t>
      </w:r>
      <w:r>
        <w:rPr>
          <w:rFonts w:hint="eastAsia" w:asciiTheme="minorEastAsia" w:hAnsiTheme="minorEastAsia" w:eastAsiaTheme="minorEastAsia" w:cstheme="minorEastAsia"/>
          <w:kern w:val="2"/>
          <w:sz w:val="24"/>
          <w:szCs w:val="24"/>
          <w:highlight w:val="none"/>
          <w:lang w:val="en-US" w:eastAsia="zh-CN" w:bidi="ar-SA"/>
        </w:rPr>
        <w:t>度</w:t>
      </w:r>
      <w:r>
        <w:rPr>
          <w:rFonts w:hint="default" w:asciiTheme="minorEastAsia" w:hAnsiTheme="minorEastAsia" w:eastAsiaTheme="minorEastAsia" w:cstheme="minorEastAsia"/>
          <w:kern w:val="2"/>
          <w:sz w:val="24"/>
          <w:szCs w:val="24"/>
          <w:highlight w:val="none"/>
          <w:lang w:val="en-US" w:eastAsia="zh-CN" w:bidi="ar-SA"/>
        </w:rPr>
        <w:t>校级教改项目3</w:t>
      </w:r>
      <w:r>
        <w:rPr>
          <w:rFonts w:hint="eastAsia" w:asciiTheme="minorEastAsia" w:hAnsiTheme="minorEastAsia" w:eastAsiaTheme="minorEastAsia" w:cstheme="minorEastAsia"/>
          <w:kern w:val="2"/>
          <w:sz w:val="24"/>
          <w:szCs w:val="24"/>
          <w:highlight w:val="none"/>
          <w:lang w:val="en-US" w:eastAsia="zh-CN" w:bidi="ar-SA"/>
        </w:rPr>
        <w:t>5</w:t>
      </w:r>
      <w:r>
        <w:rPr>
          <w:rFonts w:hint="default" w:asciiTheme="minorEastAsia" w:hAnsiTheme="minorEastAsia" w:eastAsiaTheme="minorEastAsia" w:cstheme="minorEastAsia"/>
          <w:kern w:val="2"/>
          <w:sz w:val="24"/>
          <w:szCs w:val="24"/>
          <w:highlight w:val="none"/>
          <w:lang w:val="en-US" w:eastAsia="zh-CN" w:bidi="ar-SA"/>
        </w:rPr>
        <w:t>项。学校</w:t>
      </w:r>
      <w:r>
        <w:rPr>
          <w:rFonts w:hint="eastAsia" w:asciiTheme="minorEastAsia" w:hAnsiTheme="minorEastAsia" w:eastAsiaTheme="minorEastAsia" w:cstheme="minorEastAsia"/>
          <w:kern w:val="2"/>
          <w:sz w:val="24"/>
          <w:szCs w:val="24"/>
          <w:highlight w:val="none"/>
          <w:lang w:val="en-US" w:eastAsia="zh-CN" w:bidi="ar-SA"/>
        </w:rPr>
        <w:t>目前立项</w:t>
      </w:r>
      <w:r>
        <w:rPr>
          <w:rFonts w:hint="default" w:asciiTheme="minorEastAsia" w:hAnsiTheme="minorEastAsia" w:eastAsiaTheme="minorEastAsia" w:cstheme="minorEastAsia"/>
          <w:kern w:val="2"/>
          <w:sz w:val="24"/>
          <w:szCs w:val="24"/>
          <w:highlight w:val="none"/>
          <w:lang w:val="en-US" w:eastAsia="zh-CN" w:bidi="ar-SA"/>
        </w:rPr>
        <w:t>省级教学改革项目18项、省级课程思政教学</w:t>
      </w:r>
      <w:r>
        <w:rPr>
          <w:rFonts w:hint="eastAsia" w:asciiTheme="minorEastAsia" w:hAnsiTheme="minorEastAsia" w:eastAsiaTheme="minorEastAsia" w:cstheme="minorEastAsia"/>
          <w:kern w:val="2"/>
          <w:sz w:val="24"/>
          <w:szCs w:val="24"/>
          <w:highlight w:val="none"/>
          <w:lang w:val="en-US" w:eastAsia="zh-CN" w:bidi="ar-SA"/>
        </w:rPr>
        <w:t>研究</w:t>
      </w:r>
      <w:r>
        <w:rPr>
          <w:rFonts w:hint="default" w:asciiTheme="minorEastAsia" w:hAnsiTheme="minorEastAsia" w:eastAsiaTheme="minorEastAsia" w:cstheme="minorEastAsia"/>
          <w:kern w:val="2"/>
          <w:sz w:val="24"/>
          <w:szCs w:val="24"/>
          <w:highlight w:val="none"/>
          <w:lang w:val="en-US" w:eastAsia="zh-CN" w:bidi="ar-SA"/>
        </w:rPr>
        <w:t>项目</w:t>
      </w:r>
      <w:r>
        <w:rPr>
          <w:rFonts w:hint="eastAsia" w:asciiTheme="minorEastAsia" w:hAnsiTheme="minorEastAsia" w:eastAsiaTheme="minorEastAsia" w:cstheme="minorEastAsia"/>
          <w:kern w:val="2"/>
          <w:sz w:val="24"/>
          <w:szCs w:val="24"/>
          <w:highlight w:val="none"/>
          <w:lang w:val="en-US" w:eastAsia="zh-CN" w:bidi="ar-SA"/>
        </w:rPr>
        <w:t>8</w:t>
      </w:r>
      <w:r>
        <w:rPr>
          <w:rFonts w:hint="default" w:asciiTheme="minorEastAsia" w:hAnsiTheme="minorEastAsia" w:eastAsiaTheme="minorEastAsia" w:cstheme="minorEastAsia"/>
          <w:kern w:val="2"/>
          <w:sz w:val="24"/>
          <w:szCs w:val="24"/>
          <w:highlight w:val="none"/>
          <w:lang w:val="en-US" w:eastAsia="zh-CN" w:bidi="ar-SA"/>
        </w:rPr>
        <w:t>项</w:t>
      </w:r>
      <w:r>
        <w:rPr>
          <w:rFonts w:hint="eastAsia" w:asciiTheme="minorEastAsia" w:hAnsiTheme="minorEastAsia" w:eastAsiaTheme="minorEastAsia" w:cstheme="minorEastAsia"/>
          <w:kern w:val="2"/>
          <w:sz w:val="24"/>
          <w:szCs w:val="24"/>
          <w:highlight w:val="none"/>
          <w:lang w:val="en-US" w:eastAsia="zh-CN" w:bidi="ar-SA"/>
        </w:rPr>
        <w:t>、省级课程思政示范课程7门、课程思政示范基层教学组织2个</w:t>
      </w:r>
      <w:r>
        <w:rPr>
          <w:rFonts w:hint="default" w:asciiTheme="minorEastAsia" w:hAnsiTheme="minorEastAsia" w:eastAsiaTheme="minorEastAsia" w:cstheme="minorEastAsia"/>
          <w:kern w:val="2"/>
          <w:sz w:val="24"/>
          <w:szCs w:val="24"/>
          <w:highlight w:val="none"/>
          <w:lang w:val="en-US" w:eastAsia="zh-CN" w:bidi="ar-SA"/>
        </w:rPr>
        <w:t>。</w:t>
      </w:r>
    </w:p>
    <w:p>
      <w:pPr>
        <w:keepNext w:val="0"/>
        <w:keepLines w:val="0"/>
        <w:pageBreakBefore w:val="0"/>
        <w:widowControl w:val="0"/>
        <w:kinsoku/>
        <w:wordWrap/>
        <w:overflowPunct/>
        <w:topLinePunct w:val="0"/>
        <w:autoSpaceDE/>
        <w:autoSpaceDN/>
        <w:bidi w:val="0"/>
        <w:adjustRightInd/>
        <w:snapToGrid/>
        <w:spacing w:line="400" w:lineRule="exact"/>
        <w:ind w:left="0" w:firstLine="480" w:firstLineChars="200"/>
        <w:jc w:val="both"/>
        <w:textAlignment w:val="auto"/>
        <w:outlineLvl w:val="9"/>
        <w:rPr>
          <w:rFonts w:hint="eastAsia" w:asciiTheme="minorEastAsia" w:hAnsiTheme="minorEastAsia" w:eastAsiaTheme="minorEastAsia" w:cstheme="minorEastAsia"/>
          <w:kern w:val="2"/>
          <w:sz w:val="24"/>
          <w:szCs w:val="24"/>
          <w:highlight w:val="none"/>
          <w:lang w:val="en-US" w:eastAsia="zh-CN" w:bidi="ar-SA"/>
        </w:rPr>
      </w:pPr>
      <w:r>
        <w:rPr>
          <w:rFonts w:hint="default" w:asciiTheme="minorEastAsia" w:hAnsiTheme="minorEastAsia" w:eastAsiaTheme="minorEastAsia" w:cstheme="minorEastAsia"/>
          <w:kern w:val="2"/>
          <w:sz w:val="24"/>
          <w:szCs w:val="24"/>
          <w:highlight w:val="none"/>
          <w:lang w:val="en-US" w:eastAsia="zh-CN" w:bidi="ar-SA"/>
        </w:rPr>
        <w:t>培育教学成果，巩固办学成效。</w:t>
      </w:r>
      <w:r>
        <w:rPr>
          <w:rFonts w:hint="eastAsia" w:asciiTheme="minorEastAsia" w:hAnsiTheme="minorEastAsia" w:eastAsiaTheme="minorEastAsia" w:cstheme="minorEastAsia"/>
          <w:kern w:val="2"/>
          <w:sz w:val="24"/>
          <w:szCs w:val="24"/>
          <w:highlight w:val="none"/>
          <w:lang w:val="en-US" w:eastAsia="zh-CN" w:bidi="ar-SA"/>
        </w:rPr>
        <w:t>学校</w:t>
      </w:r>
      <w:r>
        <w:rPr>
          <w:rFonts w:hint="default" w:asciiTheme="minorEastAsia" w:hAnsiTheme="minorEastAsia" w:eastAsiaTheme="minorEastAsia" w:cstheme="minorEastAsia"/>
          <w:kern w:val="2"/>
          <w:sz w:val="24"/>
          <w:szCs w:val="24"/>
          <w:highlight w:val="none"/>
          <w:lang w:val="en-US" w:eastAsia="zh-CN" w:bidi="ar-SA"/>
        </w:rPr>
        <w:t>统筹推进教学成果奖</w:t>
      </w:r>
      <w:r>
        <w:rPr>
          <w:rFonts w:hint="eastAsia" w:asciiTheme="minorEastAsia" w:hAnsiTheme="minorEastAsia" w:eastAsiaTheme="minorEastAsia" w:cstheme="minorEastAsia"/>
          <w:kern w:val="2"/>
          <w:sz w:val="24"/>
          <w:szCs w:val="24"/>
          <w:highlight w:val="none"/>
          <w:lang w:val="en-US" w:eastAsia="zh-CN" w:bidi="ar-SA"/>
        </w:rPr>
        <w:t>建设</w:t>
      </w:r>
      <w:r>
        <w:rPr>
          <w:rFonts w:hint="default" w:asciiTheme="minorEastAsia" w:hAnsiTheme="minorEastAsia" w:eastAsiaTheme="minorEastAsia" w:cstheme="minorEastAsia"/>
          <w:kern w:val="2"/>
          <w:sz w:val="24"/>
          <w:szCs w:val="24"/>
          <w:highlight w:val="none"/>
          <w:lang w:val="en-US" w:eastAsia="zh-CN" w:bidi="ar-SA"/>
        </w:rPr>
        <w:t>，优化整合提升已立项和已获奖项目，形成2024年度省级教学成果奖申报核心梯队。通过阶段性汇报、专题培训、专家引领等方式，进一步提升理论厚度、丰富成果内涵、提炼成果特色，持续优化拟申报文本。</w:t>
      </w:r>
      <w:r>
        <w:rPr>
          <w:rFonts w:hint="eastAsia" w:asciiTheme="minorEastAsia" w:hAnsiTheme="minorEastAsia" w:eastAsiaTheme="minorEastAsia" w:cstheme="minorEastAsia"/>
          <w:kern w:val="2"/>
          <w:sz w:val="24"/>
          <w:szCs w:val="24"/>
          <w:highlight w:val="none"/>
          <w:lang w:val="en-US" w:eastAsia="zh-CN" w:bidi="ar-SA"/>
        </w:rPr>
        <w:t>2023-2024</w:t>
      </w:r>
      <w:r>
        <w:rPr>
          <w:rFonts w:hint="default" w:asciiTheme="minorEastAsia" w:hAnsiTheme="minorEastAsia" w:eastAsiaTheme="minorEastAsia" w:cstheme="minorEastAsia"/>
          <w:kern w:val="2"/>
          <w:sz w:val="24"/>
          <w:szCs w:val="24"/>
          <w:highlight w:val="none"/>
          <w:lang w:val="en-US" w:eastAsia="zh-CN" w:bidi="ar-SA"/>
        </w:rPr>
        <w:t>学年立项</w:t>
      </w:r>
      <w:r>
        <w:rPr>
          <w:rFonts w:hint="eastAsia" w:asciiTheme="minorEastAsia" w:hAnsiTheme="minorEastAsia" w:eastAsiaTheme="minorEastAsia" w:cstheme="minorEastAsia"/>
          <w:kern w:val="2"/>
          <w:sz w:val="24"/>
          <w:szCs w:val="24"/>
          <w:highlight w:val="none"/>
          <w:lang w:val="en-US" w:eastAsia="zh-CN" w:bidi="ar-SA"/>
        </w:rPr>
        <w:t>校级教学成果奖10项，其中特等奖1项、一等奖3项、二等奖6项。</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outlineLvl w:val="0"/>
        <w:rPr>
          <w:rFonts w:hint="eastAsia" w:ascii="宋体" w:hAnsi="宋体" w:eastAsia="宋体" w:cs="宋体"/>
          <w:sz w:val="30"/>
          <w:szCs w:val="30"/>
          <w:highlight w:val="none"/>
          <w:lang w:val="en-US" w:eastAsia="zh-CN"/>
        </w:rPr>
      </w:pPr>
      <w:bookmarkStart w:id="43" w:name="_Toc9705"/>
      <w:r>
        <w:rPr>
          <w:rFonts w:hint="eastAsia" w:ascii="黑体" w:hAnsi="黑体" w:eastAsia="黑体" w:cs="黑体"/>
          <w:b w:val="0"/>
          <w:bCs w:val="0"/>
          <w:color w:val="auto"/>
          <w:kern w:val="2"/>
          <w:sz w:val="30"/>
          <w:szCs w:val="30"/>
          <w:lang w:val="en-US" w:eastAsia="zh-CN" w:bidi="ar-SA"/>
        </w:rPr>
        <w:t>四、专业培养能力</w:t>
      </w:r>
      <w:bookmarkEnd w:id="43"/>
      <w:r>
        <w:rPr>
          <w:rFonts w:hint="eastAsia" w:ascii="宋体" w:hAnsi="宋体" w:eastAsia="宋体" w:cs="宋体"/>
          <w:sz w:val="30"/>
          <w:szCs w:val="30"/>
          <w:highlight w:val="none"/>
          <w:lang w:val="en-US" w:eastAsia="zh-CN"/>
        </w:rPr>
        <w:tab/>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outlineLvl w:val="1"/>
        <w:rPr>
          <w:rFonts w:hint="eastAsia" w:ascii="宋体" w:hAnsi="宋体" w:eastAsia="宋体" w:cs="宋体"/>
          <w:sz w:val="24"/>
          <w:szCs w:val="24"/>
          <w:highlight w:val="none"/>
          <w:lang w:val="en-US" w:eastAsia="zh-CN"/>
        </w:rPr>
      </w:pPr>
      <w:bookmarkStart w:id="44" w:name="_Toc25051"/>
      <w:r>
        <w:rPr>
          <w:rFonts w:hint="eastAsia" w:ascii="黑体" w:hAnsi="黑体" w:eastAsia="黑体" w:cs="黑体"/>
          <w:b w:val="0"/>
          <w:bCs w:val="0"/>
          <w:color w:val="auto"/>
          <w:kern w:val="2"/>
          <w:sz w:val="28"/>
          <w:szCs w:val="28"/>
          <w:lang w:val="en-US" w:eastAsia="zh-CN" w:bidi="ar-SA"/>
        </w:rPr>
        <w:t>（一）专业培养目标</w:t>
      </w:r>
      <w:bookmarkEnd w:id="44"/>
      <w:r>
        <w:rPr>
          <w:rFonts w:hint="eastAsia" w:ascii="宋体" w:hAnsi="宋体" w:eastAsia="宋体" w:cs="宋体"/>
          <w:sz w:val="24"/>
          <w:szCs w:val="24"/>
          <w:highlight w:val="none"/>
          <w:lang w:val="en-US" w:eastAsia="zh-CN"/>
        </w:rPr>
        <w:tab/>
      </w:r>
    </w:p>
    <w:p>
      <w:pPr>
        <w:keepNext w:val="0"/>
        <w:keepLines w:val="0"/>
        <w:pageBreakBefore w:val="0"/>
        <w:widowControl w:val="0"/>
        <w:kinsoku/>
        <w:wordWrap/>
        <w:overflowPunct/>
        <w:topLinePunct w:val="0"/>
        <w:autoSpaceDE/>
        <w:autoSpaceDN/>
        <w:bidi w:val="0"/>
        <w:adjustRightInd/>
        <w:snapToGrid/>
        <w:spacing w:line="400" w:lineRule="exact"/>
        <w:ind w:left="0" w:firstLine="480" w:firstLineChars="200"/>
        <w:jc w:val="both"/>
        <w:textAlignment w:val="auto"/>
        <w:outlineLvl w:val="9"/>
        <w:rPr>
          <w:rFonts w:hint="default"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学校围绕高水平应用型大学建设目标，明确高素质应用型人才培养定位。</w:t>
      </w:r>
      <w:r>
        <w:rPr>
          <w:rFonts w:hint="default" w:asciiTheme="minorEastAsia" w:hAnsiTheme="minorEastAsia" w:eastAsiaTheme="minorEastAsia" w:cstheme="minorEastAsia"/>
          <w:kern w:val="2"/>
          <w:sz w:val="24"/>
          <w:szCs w:val="24"/>
          <w:highlight w:val="none"/>
          <w:lang w:val="en-US" w:eastAsia="zh-CN" w:bidi="ar-SA"/>
        </w:rPr>
        <w:t>理工科专业坚持</w:t>
      </w:r>
      <w:r>
        <w:rPr>
          <w:rFonts w:hint="eastAsia" w:asciiTheme="minorEastAsia" w:hAnsiTheme="minorEastAsia" w:eastAsiaTheme="minorEastAsia" w:cstheme="minorEastAsia"/>
          <w:kern w:val="2"/>
          <w:sz w:val="24"/>
          <w:szCs w:val="24"/>
          <w:highlight w:val="none"/>
          <w:lang w:val="en-US" w:eastAsia="zh-CN" w:bidi="ar-SA"/>
        </w:rPr>
        <w:t>“优良理工传统，鲜明应用特色”，以新工科、新医科建设为目标，</w:t>
      </w:r>
      <w:r>
        <w:rPr>
          <w:rFonts w:hint="default" w:asciiTheme="minorEastAsia" w:hAnsiTheme="minorEastAsia" w:eastAsiaTheme="minorEastAsia" w:cstheme="minorEastAsia"/>
          <w:kern w:val="2"/>
          <w:sz w:val="24"/>
          <w:szCs w:val="24"/>
          <w:highlight w:val="none"/>
          <w:lang w:val="en-US" w:eastAsia="zh-CN" w:bidi="ar-SA"/>
        </w:rPr>
        <w:t>以校地共育为主线，构建政府、行业企业和学院协同育人机制，</w:t>
      </w:r>
      <w:r>
        <w:rPr>
          <w:rFonts w:hint="eastAsia" w:asciiTheme="minorEastAsia" w:hAnsiTheme="minorEastAsia" w:eastAsiaTheme="minorEastAsia" w:cstheme="minorEastAsia"/>
          <w:kern w:val="2"/>
          <w:sz w:val="24"/>
          <w:szCs w:val="24"/>
          <w:highlight w:val="none"/>
          <w:lang w:val="en-US" w:eastAsia="zh-CN" w:bidi="ar-SA"/>
        </w:rPr>
        <w:t>发展学生“人文底蕴、科学精神、学会学习、学会合作、责任担当、实践创新”</w:t>
      </w:r>
      <w:r>
        <w:rPr>
          <w:rFonts w:hint="default" w:asciiTheme="minorEastAsia" w:hAnsiTheme="minorEastAsia" w:eastAsiaTheme="minorEastAsia" w:cstheme="minorEastAsia"/>
          <w:kern w:val="2"/>
          <w:sz w:val="24"/>
          <w:szCs w:val="24"/>
          <w:highlight w:val="none"/>
          <w:lang w:val="en-US" w:eastAsia="zh-CN" w:bidi="ar-SA"/>
        </w:rPr>
        <w:t>六大核心素养，培养学生的敬业爱岗意识、知识应用能力、实践动手能力和创新创业能力，培养能够主动适应新时代区域经济社会和行业发展需求的高素质</w:t>
      </w:r>
      <w:r>
        <w:rPr>
          <w:rFonts w:hint="eastAsia" w:asciiTheme="minorEastAsia" w:hAnsiTheme="minorEastAsia" w:eastAsiaTheme="minorEastAsia" w:cstheme="minorEastAsia"/>
          <w:kern w:val="2"/>
          <w:sz w:val="24"/>
          <w:szCs w:val="24"/>
          <w:highlight w:val="none"/>
          <w:lang w:val="en-US" w:eastAsia="zh-CN" w:bidi="ar-SA"/>
        </w:rPr>
        <w:t>应用</w:t>
      </w:r>
      <w:r>
        <w:rPr>
          <w:rFonts w:hint="default" w:asciiTheme="minorEastAsia" w:hAnsiTheme="minorEastAsia" w:eastAsiaTheme="minorEastAsia" w:cstheme="minorEastAsia"/>
          <w:kern w:val="2"/>
          <w:sz w:val="24"/>
          <w:szCs w:val="24"/>
          <w:highlight w:val="none"/>
          <w:lang w:val="en-US" w:eastAsia="zh-CN" w:bidi="ar-SA"/>
        </w:rPr>
        <w:t>型人才。</w:t>
      </w:r>
    </w:p>
    <w:p>
      <w:pPr>
        <w:keepNext w:val="0"/>
        <w:keepLines w:val="0"/>
        <w:pageBreakBefore w:val="0"/>
        <w:widowControl w:val="0"/>
        <w:kinsoku/>
        <w:wordWrap/>
        <w:overflowPunct/>
        <w:topLinePunct w:val="0"/>
        <w:autoSpaceDE/>
        <w:autoSpaceDN/>
        <w:bidi w:val="0"/>
        <w:adjustRightInd/>
        <w:snapToGrid/>
        <w:spacing w:line="400" w:lineRule="exact"/>
        <w:ind w:left="0" w:firstLine="480" w:firstLineChars="200"/>
        <w:jc w:val="both"/>
        <w:textAlignment w:val="auto"/>
        <w:outlineLvl w:val="9"/>
        <w:rPr>
          <w:rFonts w:hint="eastAsia" w:asciiTheme="minorEastAsia" w:hAnsiTheme="minorEastAsia" w:eastAsiaTheme="minorEastAsia" w:cstheme="minorEastAsia"/>
          <w:kern w:val="2"/>
          <w:sz w:val="24"/>
          <w:szCs w:val="24"/>
          <w:highlight w:val="none"/>
          <w:lang w:val="en-US" w:eastAsia="zh-CN" w:bidi="ar-SA"/>
        </w:rPr>
      </w:pPr>
      <w:r>
        <w:rPr>
          <w:rFonts w:hint="default" w:asciiTheme="minorEastAsia" w:hAnsiTheme="minorEastAsia" w:eastAsiaTheme="minorEastAsia" w:cstheme="minorEastAsia"/>
          <w:kern w:val="2"/>
          <w:sz w:val="24"/>
          <w:szCs w:val="24"/>
          <w:highlight w:val="none"/>
          <w:lang w:val="en-US" w:eastAsia="zh-CN" w:bidi="ar-SA"/>
        </w:rPr>
        <w:t>文经管艺类专业</w:t>
      </w:r>
      <w:r>
        <w:rPr>
          <w:rFonts w:hint="eastAsia" w:asciiTheme="minorEastAsia" w:hAnsiTheme="minorEastAsia" w:eastAsiaTheme="minorEastAsia" w:cstheme="minorEastAsia"/>
          <w:kern w:val="2"/>
          <w:sz w:val="24"/>
          <w:szCs w:val="24"/>
          <w:highlight w:val="none"/>
          <w:lang w:val="en-US" w:eastAsia="zh-CN" w:bidi="ar-SA"/>
        </w:rPr>
        <w:t>坚持“厚实江南底蕴，彰显区域特色”，紧密对接</w:t>
      </w:r>
      <w:r>
        <w:rPr>
          <w:rFonts w:hint="default" w:asciiTheme="minorEastAsia" w:hAnsiTheme="minorEastAsia" w:eastAsiaTheme="minorEastAsia" w:cstheme="minorEastAsia"/>
          <w:kern w:val="2"/>
          <w:sz w:val="24"/>
          <w:szCs w:val="24"/>
          <w:highlight w:val="none"/>
          <w:lang w:val="en-US" w:eastAsia="zh-CN" w:bidi="ar-SA"/>
        </w:rPr>
        <w:t>区域经济社会发展对文经管艺类人才培养的要求，以</w:t>
      </w:r>
      <w:r>
        <w:rPr>
          <w:rFonts w:hint="eastAsia" w:asciiTheme="minorEastAsia" w:hAnsiTheme="minorEastAsia" w:eastAsiaTheme="minorEastAsia" w:cstheme="minorEastAsia"/>
          <w:kern w:val="2"/>
          <w:sz w:val="24"/>
          <w:szCs w:val="24"/>
          <w:highlight w:val="none"/>
          <w:lang w:val="en-US" w:eastAsia="zh-CN" w:bidi="ar-SA"/>
        </w:rPr>
        <w:t>“新文科”</w:t>
      </w:r>
      <w:r>
        <w:rPr>
          <w:rFonts w:hint="default" w:asciiTheme="minorEastAsia" w:hAnsiTheme="minorEastAsia" w:eastAsiaTheme="minorEastAsia" w:cstheme="minorEastAsia"/>
          <w:kern w:val="2"/>
          <w:sz w:val="24"/>
          <w:szCs w:val="24"/>
          <w:highlight w:val="none"/>
          <w:lang w:val="en-US" w:eastAsia="zh-CN" w:bidi="ar-SA"/>
        </w:rPr>
        <w:t>建设为目标，努力实现人才培养与新时代社会需求的接轨。培养掌握较为深厚的学科基础理论和专业知识，在知识结构、专业能力、人文素养、实践能力方面具有较强的就业竞争力，具有知识融合、学科交叉的高素质应用型人才。</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outlineLvl w:val="1"/>
        <w:rPr>
          <w:rFonts w:hint="eastAsia" w:ascii="黑体" w:hAnsi="黑体" w:eastAsia="黑体" w:cs="黑体"/>
          <w:b w:val="0"/>
          <w:bCs w:val="0"/>
          <w:color w:val="auto"/>
          <w:kern w:val="2"/>
          <w:sz w:val="28"/>
          <w:szCs w:val="28"/>
          <w:lang w:val="en-US" w:eastAsia="zh-CN" w:bidi="ar-SA"/>
        </w:rPr>
      </w:pPr>
      <w:bookmarkStart w:id="45" w:name="_Toc24758"/>
      <w:r>
        <w:rPr>
          <w:rFonts w:hint="eastAsia" w:ascii="黑体" w:hAnsi="黑体" w:eastAsia="黑体" w:cs="黑体"/>
          <w:b w:val="0"/>
          <w:bCs w:val="0"/>
          <w:color w:val="auto"/>
          <w:kern w:val="2"/>
          <w:sz w:val="28"/>
          <w:szCs w:val="28"/>
          <w:lang w:val="en-US" w:eastAsia="zh-CN" w:bidi="ar-SA"/>
        </w:rPr>
        <w:t>（二）专业培养方案</w:t>
      </w:r>
      <w:bookmarkEnd w:id="45"/>
    </w:p>
    <w:p>
      <w:pPr>
        <w:keepNext w:val="0"/>
        <w:keepLines w:val="0"/>
        <w:pageBreakBefore w:val="0"/>
        <w:widowControl w:val="0"/>
        <w:kinsoku/>
        <w:wordWrap/>
        <w:overflowPunct/>
        <w:topLinePunct w:val="0"/>
        <w:autoSpaceDE/>
        <w:autoSpaceDN/>
        <w:bidi w:val="0"/>
        <w:adjustRightInd/>
        <w:snapToGrid/>
        <w:spacing w:line="400" w:lineRule="exact"/>
        <w:ind w:left="0" w:firstLine="480" w:firstLineChars="200"/>
        <w:jc w:val="both"/>
        <w:textAlignment w:val="auto"/>
        <w:outlineLvl w:val="9"/>
        <w:rPr>
          <w:rFonts w:hint="eastAsia" w:asciiTheme="minorEastAsia" w:hAnsiTheme="minorEastAsia" w:eastAsiaTheme="minorEastAsia" w:cstheme="minorEastAsia"/>
          <w:kern w:val="2"/>
          <w:sz w:val="24"/>
          <w:szCs w:val="24"/>
          <w:highlight w:val="none"/>
          <w:lang w:val="en-US" w:eastAsia="zh-CN" w:bidi="ar-SA"/>
        </w:rPr>
      </w:pPr>
      <w:bookmarkStart w:id="46" w:name="_Toc7585"/>
      <w:bookmarkStart w:id="47" w:name="_Toc23558"/>
      <w:bookmarkStart w:id="48" w:name="_Toc17619"/>
      <w:r>
        <w:rPr>
          <w:rFonts w:hint="eastAsia" w:asciiTheme="minorEastAsia" w:hAnsiTheme="minorEastAsia" w:eastAsiaTheme="minorEastAsia" w:cstheme="minorEastAsia"/>
          <w:kern w:val="2"/>
          <w:sz w:val="24"/>
          <w:szCs w:val="24"/>
          <w:highlight w:val="none"/>
          <w:lang w:val="en-US" w:eastAsia="zh-CN" w:bidi="ar-SA"/>
        </w:rPr>
        <w:t>根据国家对本科教育的新要求、区域经济对人才培养的需求，为更好地服务“六个新湖州”建设，学校在广泛调研并听取利益相关方意见的基础上，每年对人才培养方案与指导性教学计划进行修订。</w:t>
      </w:r>
    </w:p>
    <w:p>
      <w:pPr>
        <w:widowControl/>
        <w:spacing w:line="400" w:lineRule="exact"/>
        <w:ind w:firstLine="480" w:firstLineChars="200"/>
        <w:jc w:val="both"/>
        <w:rPr>
          <w:rFonts w:hint="eastAsia" w:ascii="Times New Roman" w:hAnsi="Times New Roman" w:cs="Times New Roman"/>
          <w:color w:val="auto"/>
          <w:kern w:val="0"/>
          <w:sz w:val="24"/>
          <w:lang w:val="en-US" w:eastAsia="zh-CN"/>
        </w:rPr>
      </w:pPr>
      <w:r>
        <w:rPr>
          <w:rFonts w:hint="eastAsia" w:asciiTheme="minorEastAsia" w:hAnsiTheme="minorEastAsia" w:eastAsiaTheme="minorEastAsia" w:cstheme="minorEastAsia"/>
          <w:kern w:val="2"/>
          <w:sz w:val="24"/>
          <w:szCs w:val="24"/>
          <w:highlight w:val="none"/>
          <w:lang w:val="en-US" w:eastAsia="zh-CN" w:bidi="ar-SA"/>
        </w:rPr>
        <w:t>2021版人才培养方案与指导性教学计划是转设后以湖州学院名义修订的第一版人才培养方案，为转型后的人才培养工作明确目标定位和总体规格。2022版人才培养方案与指导性教学计划在2021版修订指导性意见的大框架下，适度调整国防教育与军事训练、体育与健康、习近平新时代中国特色社会主义思想概论、单招班大学英语课程设置。</w:t>
      </w:r>
      <w:bookmarkEnd w:id="46"/>
      <w:bookmarkEnd w:id="47"/>
      <w:bookmarkEnd w:id="48"/>
      <w:r>
        <w:rPr>
          <w:rFonts w:hint="eastAsia" w:asciiTheme="minorEastAsia" w:hAnsiTheme="minorEastAsia" w:eastAsiaTheme="minorEastAsia" w:cstheme="minorEastAsia"/>
          <w:kern w:val="2"/>
          <w:sz w:val="24"/>
          <w:szCs w:val="24"/>
          <w:highlight w:val="none"/>
          <w:lang w:val="en-US" w:eastAsia="zh-CN" w:bidi="ar-SA"/>
        </w:rPr>
        <w:t>2023版人才培养方案主要在通识必修课、通识选修课、实践教学、课程总学分等四方面进行适度调整。调整了劳动教育、高等数学、大学物理课程设置，增开选择性必修课程“四史”。2024版人才培养方案增开国家安全教育课程，在保持相对稳定的基础上，各专业根据人才培养的实际情况进行了部分微调，更符合应用型人才培养的实际。</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outlineLvl w:val="1"/>
        <w:rPr>
          <w:rFonts w:hint="eastAsia" w:ascii="黑体" w:hAnsi="黑体" w:eastAsia="黑体" w:cs="黑体"/>
          <w:b w:val="0"/>
          <w:bCs w:val="0"/>
          <w:color w:val="auto"/>
          <w:kern w:val="2"/>
          <w:sz w:val="28"/>
          <w:szCs w:val="28"/>
          <w:lang w:val="en-US" w:eastAsia="zh-CN" w:bidi="ar-SA"/>
        </w:rPr>
      </w:pPr>
      <w:bookmarkStart w:id="49" w:name="_Toc11837"/>
      <w:r>
        <w:rPr>
          <w:rFonts w:hint="eastAsia" w:ascii="黑体" w:hAnsi="黑体" w:eastAsia="黑体" w:cs="黑体"/>
          <w:b w:val="0"/>
          <w:bCs w:val="0"/>
          <w:color w:val="auto"/>
          <w:kern w:val="2"/>
          <w:sz w:val="28"/>
          <w:szCs w:val="28"/>
          <w:lang w:val="en-US" w:eastAsia="zh-CN" w:bidi="ar-SA"/>
        </w:rPr>
        <w:t>（三）专业课程体系</w:t>
      </w:r>
      <w:bookmarkEnd w:id="49"/>
    </w:p>
    <w:p>
      <w:pPr>
        <w:widowControl/>
        <w:spacing w:line="400" w:lineRule="exact"/>
        <w:ind w:firstLine="480" w:firstLineChars="200"/>
        <w:jc w:val="both"/>
        <w:rPr>
          <w:rFonts w:hint="default"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优化课程结构。坚持高素质应用型人才培养主线，扎实推进理论教学和实践教学双线协同。通过厚实基础课程、强化核心课程、做实专业课程，持续优化课程结构，着力打造应用为本的理论课程体系、能力为要的实践教学体系，培养高素质应用型人才。</w:t>
      </w:r>
    </w:p>
    <w:p>
      <w:pPr>
        <w:widowControl/>
        <w:spacing w:line="400" w:lineRule="exact"/>
        <w:ind w:firstLine="480" w:firstLineChars="200"/>
        <w:jc w:val="both"/>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丰富课程设置。根据上级要求和学校实际情况，调整了劳动教育、高等数学、大学物理课程设置，增开选择性必修课程“四史”课程，为2024级普通本科生增开国家安全教育课程。2023-2024学年，面向本科生开设课程1182门，开设通识选修课64门。</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outlineLvl w:val="1"/>
        <w:rPr>
          <w:rFonts w:hint="eastAsia" w:ascii="黑体" w:hAnsi="黑体" w:eastAsia="黑体" w:cs="黑体"/>
          <w:b w:val="0"/>
          <w:bCs w:val="0"/>
          <w:color w:val="auto"/>
          <w:kern w:val="2"/>
          <w:sz w:val="28"/>
          <w:szCs w:val="28"/>
          <w:lang w:val="en-US" w:eastAsia="zh-CN" w:bidi="ar-SA"/>
        </w:rPr>
      </w:pPr>
      <w:bookmarkStart w:id="50" w:name="_Toc210"/>
      <w:r>
        <w:rPr>
          <w:rFonts w:hint="eastAsia" w:ascii="黑体" w:hAnsi="黑体" w:eastAsia="黑体" w:cs="黑体"/>
          <w:b w:val="0"/>
          <w:bCs w:val="0"/>
          <w:color w:val="auto"/>
          <w:kern w:val="2"/>
          <w:sz w:val="28"/>
          <w:szCs w:val="28"/>
          <w:lang w:val="en-US" w:eastAsia="zh-CN" w:bidi="ar-SA"/>
        </w:rPr>
        <w:t>（四）立德树人落实机制</w:t>
      </w:r>
      <w:bookmarkEnd w:id="50"/>
    </w:p>
    <w:p>
      <w:pPr>
        <w:widowControl/>
        <w:spacing w:line="400" w:lineRule="exact"/>
        <w:ind w:firstLine="480" w:firstLineChars="200"/>
        <w:jc w:val="both"/>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学校秉承习近平新时代中国特色社会主义思想，以“培养德才兼备的人才”为核心，全面落实党的二十大精神和习近平总书记对教育领域的指导思想，通过实施“暖心工程”“成长学院”和“四季歌行”等项目，服务应用型人才培养，提升思政育人实效。</w:t>
      </w:r>
    </w:p>
    <w:p>
      <w:pPr>
        <w:widowControl/>
        <w:spacing w:line="400" w:lineRule="exact"/>
        <w:ind w:firstLine="480" w:firstLineChars="200"/>
        <w:jc w:val="both"/>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以思想教育为起点，丰富校园文化。依托西塞山论剑科技节、产教城育才共富节等，以开学典礼、毕业典礼、“7号室友”</w:t>
      </w:r>
      <w:r>
        <w:rPr>
          <w:rFonts w:hint="default" w:asciiTheme="minorEastAsia" w:hAnsiTheme="minorEastAsia" w:eastAsiaTheme="minorEastAsia" w:cstheme="minorEastAsia"/>
          <w:kern w:val="2"/>
          <w:sz w:val="24"/>
          <w:szCs w:val="24"/>
          <w:highlight w:val="none"/>
          <w:lang w:val="en-US" w:eastAsia="zh-CN" w:bidi="ar-SA"/>
        </w:rPr>
        <w:t>“书记话成长”</w:t>
      </w:r>
      <w:r>
        <w:rPr>
          <w:rFonts w:hint="eastAsia" w:asciiTheme="minorEastAsia" w:hAnsiTheme="minorEastAsia" w:eastAsiaTheme="minorEastAsia" w:cstheme="minorEastAsia"/>
          <w:kern w:val="2"/>
          <w:sz w:val="24"/>
          <w:szCs w:val="24"/>
          <w:highlight w:val="none"/>
          <w:lang w:val="en-US" w:eastAsia="zh-CN" w:bidi="ar-SA"/>
        </w:rPr>
        <w:t>、新生彩虹计划等教育形式，开展各类教育活动超1000</w:t>
      </w:r>
      <w:r>
        <w:rPr>
          <w:rFonts w:hint="default" w:asciiTheme="minorEastAsia" w:hAnsiTheme="minorEastAsia" w:eastAsiaTheme="minorEastAsia" w:cstheme="minorEastAsia"/>
          <w:kern w:val="2"/>
          <w:sz w:val="24"/>
          <w:szCs w:val="24"/>
          <w:highlight w:val="none"/>
          <w:lang w:val="en-US" w:eastAsia="zh-CN" w:bidi="ar-SA"/>
        </w:rPr>
        <w:t>场。</w:t>
      </w:r>
      <w:r>
        <w:rPr>
          <w:rFonts w:hint="eastAsia" w:asciiTheme="minorEastAsia" w:hAnsiTheme="minorEastAsia" w:eastAsiaTheme="minorEastAsia" w:cstheme="minorEastAsia"/>
          <w:kern w:val="2"/>
          <w:sz w:val="24"/>
          <w:szCs w:val="24"/>
          <w:highlight w:val="none"/>
          <w:lang w:val="en-US" w:eastAsia="zh-CN" w:bidi="ar-SA"/>
        </w:rPr>
        <w:t>组建红色宣讲团和网络红军，宣讲党的二十大精神，营造积极、向上的校园氛围。开展学风建设月系列活动，形成浓厚的学习氛围。协同全校力量稳步推进学风建设工作。本学年，学籍预警学生数量呈现下降趋势。</w:t>
      </w:r>
    </w:p>
    <w:p>
      <w:pPr>
        <w:widowControl/>
        <w:spacing w:line="400" w:lineRule="exact"/>
        <w:ind w:firstLine="480" w:firstLineChars="200"/>
        <w:jc w:val="both"/>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以成长学院为抓手，狠抓队伍建设。丰富辅导员成长学院、班主任成长学院和迷彩绿成长学院3个成长学院建设内涵，进一步提升队伍建设。辅导员成长学院累计开展辅导员“半月谈”活动42期；班主任成长学院做到月月有主题，让全体班主任参与到学生心理、安全、就业等各方面的工作；迷彩绿成长学院创办迷彩绿成长训练营，多措并举提升学生干部的综合素质。</w:t>
      </w:r>
    </w:p>
    <w:p>
      <w:pPr>
        <w:widowControl/>
        <w:spacing w:line="400" w:lineRule="exact"/>
        <w:ind w:firstLine="480" w:firstLineChars="200"/>
        <w:jc w:val="both"/>
        <w:rPr>
          <w:rFonts w:hint="default"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以心理健康为依托，筑牢安全底线。举办心理委员培训班、朋辈心理工作坊，覆盖5000余人次，寝室心理互助员培训实现全覆盖，进一步增强学生的心理健康意识。多方联动，守住安全底线不动摇。在全校范围内开展普法讲座，强化预防大学生违法犯罪；联合龙泉派出所、交通银行等单位，开展反诈安全宣传；成立党员先锋在行动志愿服务队，防诈宣传进公寓；畅通信息反馈渠道，加大“部长信箱”宣传力度；积极落实公寓网格化管理制度，按照“寝-班-院-校”四级工作机制加强学生安全管理</w:t>
      </w:r>
      <w:r>
        <w:rPr>
          <w:rFonts w:hint="default" w:asciiTheme="minorEastAsia" w:hAnsiTheme="minorEastAsia" w:eastAsiaTheme="minorEastAsia" w:cstheme="minorEastAsia"/>
          <w:kern w:val="2"/>
          <w:sz w:val="24"/>
          <w:szCs w:val="24"/>
          <w:highlight w:val="none"/>
          <w:lang w:val="en-US" w:eastAsia="zh-CN" w:bidi="ar-SA"/>
        </w:rPr>
        <w:t>。</w:t>
      </w:r>
    </w:p>
    <w:p>
      <w:pPr>
        <w:widowControl/>
        <w:spacing w:line="400" w:lineRule="exact"/>
        <w:ind w:firstLine="480" w:firstLineChars="200"/>
        <w:jc w:val="both"/>
        <w:rPr>
          <w:rFonts w:hint="default"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以社团建设为平台，提高综合素质。校团委紧扣立德树人主线，聚焦思想引领、成才服务两大任务，深入实施白鹭绿动、白鹭共富、白鹭有礼三大行动，构建凝聚青年、服务大局、当好桥梁、从严治团四维工作格局。始终坚持做好思想引领，提升学生道德品质，培养学生践行核心价值观；强化学术科技，提升创新能力，培养科学家精神；深化社会实践，强化志愿服务，培养大学生社会责任感；积极打造校园文化，提升学生表现能力，培养学生人文精神。本学年社团年审通过29个社团，社团学生数达2314人，占在校学生总数的27.77%；获思政微课大赛省赛一等奖1项、二等奖2项、三等奖1项；获“大学生艺术节”省赛一等奖1项、三等奖8项；入选全国大学生暑期文化科技卫生“三下乡”社会实践“千万工程”专项活动1项，获浙江省暑期社会实践优秀调研报告1项；全校开展亚运迎火炬、世界互联网大会乌镇峰会等志愿服务3966次共6.08万余小时，入选全国大学生井冈山精神志愿宣讲团1个。志愿者出征仪式见图7。</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宋体" w:hAnsi="宋体" w:eastAsia="宋体" w:cs="宋体"/>
          <w:b w:val="0"/>
          <w:bCs w:val="0"/>
          <w:kern w:val="0"/>
          <w:sz w:val="24"/>
          <w:lang w:val="en-US" w:eastAsia="zh-CN" w:bidi="ar"/>
        </w:rPr>
      </w:pPr>
      <w:r>
        <w:rPr>
          <w:rFonts w:hint="eastAsia" w:ascii="宋体" w:hAnsi="宋体" w:eastAsia="宋体" w:cs="宋体"/>
          <w:b w:val="0"/>
          <w:bCs w:val="0"/>
          <w:kern w:val="0"/>
          <w:sz w:val="16"/>
          <w:szCs w:val="16"/>
          <w:lang w:bidi="ar"/>
        </w:rPr>
        <w:drawing>
          <wp:anchor distT="0" distB="0" distL="114300" distR="114300" simplePos="0" relativeHeight="251660288" behindDoc="0" locked="0" layoutInCell="1" allowOverlap="1">
            <wp:simplePos x="0" y="0"/>
            <wp:positionH relativeFrom="column">
              <wp:posOffset>303530</wp:posOffset>
            </wp:positionH>
            <wp:positionV relativeFrom="paragraph">
              <wp:posOffset>165100</wp:posOffset>
            </wp:positionV>
            <wp:extent cx="4427855" cy="2491740"/>
            <wp:effectExtent l="0" t="0" r="6985" b="7620"/>
            <wp:wrapTopAndBottom/>
            <wp:docPr id="12" name="图片 12" descr="Z:/备份/同步盘/团委/新宣/2023年世界互联网大会乌镇峰会/合照.jpg合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Z:/备份/同步盘/团委/新宣/2023年世界互联网大会乌镇峰会/合照.jpg合照"/>
                    <pic:cNvPicPr>
                      <a:picLocks noChangeAspect="1"/>
                    </pic:cNvPicPr>
                  </pic:nvPicPr>
                  <pic:blipFill>
                    <a:blip r:embed="rId14"/>
                    <a:srcRect t="7811" b="7811"/>
                    <a:stretch>
                      <a:fillRect/>
                    </a:stretch>
                  </pic:blipFill>
                  <pic:spPr>
                    <a:xfrm>
                      <a:off x="0" y="0"/>
                      <a:ext cx="4427855" cy="2491740"/>
                    </a:xfrm>
                    <a:prstGeom prst="rect">
                      <a:avLst/>
                    </a:prstGeom>
                  </pic:spPr>
                </pic:pic>
              </a:graphicData>
            </a:graphic>
          </wp:anchor>
        </w:drawing>
      </w:r>
      <w:r>
        <w:rPr>
          <w:rFonts w:hint="eastAsia" w:ascii="Times New Roman" w:hAnsi="Times New Roman" w:eastAsia="宋体" w:cs="Times New Roman"/>
          <w:b w:val="0"/>
          <w:bCs w:val="0"/>
          <w:color w:val="auto"/>
          <w:kern w:val="2"/>
          <w:sz w:val="21"/>
          <w:szCs w:val="21"/>
          <w:highlight w:val="none"/>
          <w:lang w:val="en-US" w:eastAsia="zh-CN" w:bidi="ar-SA"/>
        </w:rPr>
        <w:t>图</w:t>
      </w:r>
      <w:r>
        <w:rPr>
          <w:rFonts w:hint="eastAsia" w:ascii="Times New Roman" w:hAnsi="Times New Roman" w:cs="Times New Roman"/>
          <w:b w:val="0"/>
          <w:bCs w:val="0"/>
          <w:color w:val="auto"/>
          <w:kern w:val="2"/>
          <w:sz w:val="21"/>
          <w:szCs w:val="21"/>
          <w:highlight w:val="none"/>
          <w:lang w:val="en-US" w:eastAsia="zh-CN" w:bidi="ar-SA"/>
        </w:rPr>
        <w:t xml:space="preserve">7  </w:t>
      </w:r>
      <w:r>
        <w:rPr>
          <w:rFonts w:hint="eastAsia" w:ascii="Times New Roman" w:hAnsi="Times New Roman" w:eastAsia="宋体" w:cs="Times New Roman"/>
          <w:b w:val="0"/>
          <w:bCs w:val="0"/>
          <w:color w:val="auto"/>
          <w:kern w:val="2"/>
          <w:sz w:val="21"/>
          <w:szCs w:val="21"/>
          <w:highlight w:val="none"/>
          <w:lang w:val="en-US" w:eastAsia="zh-CN" w:bidi="ar-SA"/>
        </w:rPr>
        <w:t>志</w:t>
      </w:r>
      <w:r>
        <w:rPr>
          <w:rFonts w:hint="eastAsia" w:ascii="Times New Roman" w:hAnsi="Times New Roman" w:eastAsia="宋体" w:cs="Times New Roman"/>
          <w:b w:val="0"/>
          <w:bCs w:val="0"/>
          <w:color w:val="auto"/>
          <w:kern w:val="2"/>
          <w:sz w:val="21"/>
          <w:szCs w:val="21"/>
          <w:lang w:val="en-US" w:eastAsia="zh-CN" w:bidi="ar-SA"/>
        </w:rPr>
        <w:t>愿者出征仪式</w:t>
      </w:r>
    </w:p>
    <w:p>
      <w:pPr>
        <w:keepNext w:val="0"/>
        <w:keepLines w:val="0"/>
        <w:pageBreakBefore w:val="0"/>
        <w:widowControl w:val="0"/>
        <w:kinsoku/>
        <w:wordWrap/>
        <w:overflowPunct/>
        <w:topLinePunct w:val="0"/>
        <w:autoSpaceDE/>
        <w:autoSpaceDN/>
        <w:bidi w:val="0"/>
        <w:adjustRightInd w:val="0"/>
        <w:snapToGrid w:val="0"/>
        <w:spacing w:line="240" w:lineRule="auto"/>
        <w:ind w:firstLine="480" w:firstLineChars="200"/>
        <w:textAlignment w:val="auto"/>
        <w:rPr>
          <w:rFonts w:hint="eastAsia" w:ascii="宋体" w:hAnsi="宋体" w:eastAsia="宋体" w:cs="宋体"/>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outlineLvl w:val="1"/>
        <w:rPr>
          <w:rFonts w:hint="eastAsia" w:ascii="黑体" w:hAnsi="黑体" w:eastAsia="黑体" w:cs="黑体"/>
          <w:b w:val="0"/>
          <w:bCs w:val="0"/>
          <w:color w:val="auto"/>
          <w:kern w:val="2"/>
          <w:sz w:val="28"/>
          <w:szCs w:val="28"/>
          <w:lang w:val="en-US" w:eastAsia="zh-CN" w:bidi="ar-SA"/>
        </w:rPr>
      </w:pPr>
      <w:bookmarkStart w:id="51" w:name="_Toc19270"/>
      <w:r>
        <w:rPr>
          <w:rFonts w:hint="eastAsia" w:ascii="黑体" w:hAnsi="黑体" w:eastAsia="黑体" w:cs="黑体"/>
          <w:b w:val="0"/>
          <w:bCs w:val="0"/>
          <w:color w:val="auto"/>
          <w:kern w:val="2"/>
          <w:sz w:val="28"/>
          <w:szCs w:val="28"/>
          <w:lang w:val="en-US" w:eastAsia="zh-CN" w:bidi="ar-SA"/>
        </w:rPr>
        <w:t>（五）学风建设</w:t>
      </w:r>
      <w:bookmarkEnd w:id="51"/>
    </w:p>
    <w:p>
      <w:pPr>
        <w:widowControl/>
        <w:spacing w:line="400" w:lineRule="exact"/>
        <w:ind w:firstLine="480" w:firstLineChars="200"/>
        <w:jc w:val="both"/>
        <w:rPr>
          <w:rFonts w:hint="default" w:asciiTheme="minorEastAsia" w:hAnsiTheme="minorEastAsia" w:eastAsiaTheme="minorEastAsia" w:cstheme="minorEastAsia"/>
          <w:kern w:val="2"/>
          <w:sz w:val="24"/>
          <w:szCs w:val="24"/>
          <w:highlight w:val="none"/>
          <w:lang w:val="en-US" w:eastAsia="zh-CN" w:bidi="ar-SA"/>
        </w:rPr>
      </w:pPr>
      <w:bookmarkStart w:id="52" w:name="_Toc10623"/>
      <w:bookmarkStart w:id="53" w:name="_Toc3436"/>
      <w:r>
        <w:rPr>
          <w:rFonts w:hint="default" w:asciiTheme="minorEastAsia" w:hAnsiTheme="minorEastAsia" w:eastAsiaTheme="minorEastAsia" w:cstheme="minorEastAsia"/>
          <w:kern w:val="2"/>
          <w:sz w:val="24"/>
          <w:szCs w:val="24"/>
          <w:highlight w:val="none"/>
          <w:lang w:val="en-US" w:eastAsia="zh-CN" w:bidi="ar-SA"/>
        </w:rPr>
        <w:t>强</w:t>
      </w:r>
      <w:r>
        <w:rPr>
          <w:rFonts w:hint="eastAsia" w:asciiTheme="minorEastAsia" w:hAnsiTheme="minorEastAsia" w:eastAsiaTheme="minorEastAsia" w:cstheme="minorEastAsia"/>
          <w:kern w:val="2"/>
          <w:sz w:val="24"/>
          <w:szCs w:val="24"/>
          <w:highlight w:val="none"/>
          <w:lang w:val="en-US" w:eastAsia="zh-CN" w:bidi="ar-SA"/>
        </w:rPr>
        <w:t>组织保障，提升学风建设执行力。</w:t>
      </w:r>
      <w:bookmarkEnd w:id="52"/>
      <w:bookmarkEnd w:id="53"/>
      <w:bookmarkStart w:id="54" w:name="_Toc15048"/>
      <w:bookmarkStart w:id="55" w:name="_Toc10278"/>
      <w:r>
        <w:rPr>
          <w:rFonts w:hint="eastAsia" w:asciiTheme="minorEastAsia" w:hAnsiTheme="minorEastAsia" w:eastAsiaTheme="minorEastAsia" w:cstheme="minorEastAsia"/>
          <w:kern w:val="2"/>
          <w:sz w:val="24"/>
          <w:szCs w:val="24"/>
          <w:highlight w:val="none"/>
          <w:lang w:val="en-US" w:eastAsia="zh-CN" w:bidi="ar-SA"/>
        </w:rPr>
        <w:t>以学情通报为抓手，建立学风通报制度，强化学风精细化管理。学风建设工作“日日有检查、周周有通报、月月有提升”，日常及晚自习迟到早退风气大大改善。学校秉承“全员关注、全程引导、全面服务”原则，全面贯彻落实学籍预警实施办法，建立黄牌预警和红牌预警学生库。2023-2024学年黄牌、红牌预警人数分别为428人、112人，同去年相比均有所下降。通过建立“党建＋学业帮扶”机制，改善学业预警状态，进一步提升学风建设效能。</w:t>
      </w:r>
    </w:p>
    <w:p>
      <w:pPr>
        <w:widowControl/>
        <w:spacing w:line="400" w:lineRule="exact"/>
        <w:ind w:firstLine="480" w:firstLineChars="200"/>
        <w:jc w:val="both"/>
        <w:rPr>
          <w:rFonts w:hint="default"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抓活动建设，提升学风建设创造力。</w:t>
      </w:r>
      <w:bookmarkEnd w:id="54"/>
      <w:bookmarkEnd w:id="55"/>
      <w:r>
        <w:rPr>
          <w:rFonts w:hint="eastAsia" w:asciiTheme="minorEastAsia" w:hAnsiTheme="minorEastAsia" w:eastAsiaTheme="minorEastAsia" w:cstheme="minorEastAsia"/>
          <w:kern w:val="2"/>
          <w:sz w:val="24"/>
          <w:szCs w:val="24"/>
          <w:highlight w:val="none"/>
          <w:lang w:val="en-US" w:eastAsia="zh-CN" w:bidi="ar-SA"/>
        </w:rPr>
        <w:t>打造“学在湖院”学风品牌，营造良好学习氛围。组织开展“学海泛舟一条龙”系列学风活动，举办升学助航、考证赋能、四六级辅导、“优秀课堂笔记评比”</w:t>
      </w:r>
      <w:r>
        <w:rPr>
          <w:rFonts w:hint="default" w:asciiTheme="minorEastAsia" w:hAnsiTheme="minorEastAsia" w:eastAsiaTheme="minorEastAsia" w:cstheme="minorEastAsia"/>
          <w:kern w:val="2"/>
          <w:sz w:val="24"/>
          <w:szCs w:val="24"/>
          <w:highlight w:val="none"/>
          <w:lang w:val="en-US" w:eastAsia="zh-CN" w:bidi="ar-SA"/>
        </w:rPr>
        <w:t>等活动</w:t>
      </w:r>
      <w:r>
        <w:rPr>
          <w:rFonts w:hint="eastAsia" w:asciiTheme="minorEastAsia" w:hAnsiTheme="minorEastAsia" w:eastAsiaTheme="minorEastAsia" w:cstheme="minorEastAsia"/>
          <w:kern w:val="2"/>
          <w:sz w:val="24"/>
          <w:szCs w:val="24"/>
          <w:highlight w:val="none"/>
          <w:lang w:val="en-US" w:eastAsia="zh-CN" w:bidi="ar-SA"/>
        </w:rPr>
        <w:t>，通过“研途有你”“榜样在身边”等系列栏目，发挥朋辈示范作用，</w:t>
      </w:r>
      <w:r>
        <w:rPr>
          <w:rFonts w:hint="default" w:asciiTheme="minorEastAsia" w:hAnsiTheme="minorEastAsia" w:eastAsiaTheme="minorEastAsia" w:cstheme="minorEastAsia"/>
          <w:kern w:val="2"/>
          <w:sz w:val="24"/>
          <w:szCs w:val="24"/>
          <w:highlight w:val="none"/>
          <w:lang w:val="en-US" w:eastAsia="zh-CN" w:bidi="ar-SA"/>
        </w:rPr>
        <w:t>以榜样选树引领学风建设。</w:t>
      </w:r>
      <w:r>
        <w:rPr>
          <w:rFonts w:hint="eastAsia" w:asciiTheme="minorEastAsia" w:hAnsiTheme="minorEastAsia" w:eastAsiaTheme="minorEastAsia" w:cstheme="minorEastAsia"/>
          <w:kern w:val="2"/>
          <w:sz w:val="24"/>
          <w:szCs w:val="24"/>
          <w:highlight w:val="none"/>
          <w:lang w:val="en-US" w:eastAsia="zh-CN" w:bidi="ar-SA"/>
        </w:rPr>
        <w:t>加强教与学融合机制，加强学工和教务部门的联动</w:t>
      </w:r>
      <w:r>
        <w:rPr>
          <w:rFonts w:hint="default" w:asciiTheme="minorEastAsia" w:hAnsiTheme="minorEastAsia" w:eastAsiaTheme="minorEastAsia" w:cstheme="minorEastAsia"/>
          <w:kern w:val="2"/>
          <w:sz w:val="24"/>
          <w:szCs w:val="24"/>
          <w:highlight w:val="none"/>
          <w:lang w:val="en-US" w:eastAsia="zh-CN" w:bidi="ar-SA"/>
        </w:rPr>
        <w:t>，</w:t>
      </w:r>
      <w:r>
        <w:rPr>
          <w:rFonts w:hint="eastAsia" w:asciiTheme="minorEastAsia" w:hAnsiTheme="minorEastAsia" w:eastAsiaTheme="minorEastAsia" w:cstheme="minorEastAsia"/>
          <w:kern w:val="2"/>
          <w:sz w:val="24"/>
          <w:szCs w:val="24"/>
          <w:highlight w:val="none"/>
          <w:lang w:val="en-US" w:eastAsia="zh-CN" w:bidi="ar-SA"/>
        </w:rPr>
        <w:t>协同做好教与学融合育人工作。积极搭建多元平台，发挥第二、第三课堂育人机制，</w:t>
      </w:r>
      <w:r>
        <w:rPr>
          <w:rFonts w:hint="default" w:asciiTheme="minorEastAsia" w:hAnsiTheme="minorEastAsia" w:eastAsiaTheme="minorEastAsia" w:cstheme="minorEastAsia"/>
          <w:kern w:val="2"/>
          <w:sz w:val="24"/>
          <w:szCs w:val="24"/>
          <w:highlight w:val="none"/>
          <w:lang w:val="en-US" w:eastAsia="zh-CN" w:bidi="ar-SA"/>
        </w:rPr>
        <w:t>将学风建设与特色</w:t>
      </w:r>
      <w:r>
        <w:rPr>
          <w:rFonts w:hint="eastAsia" w:asciiTheme="minorEastAsia" w:hAnsiTheme="minorEastAsia" w:eastAsiaTheme="minorEastAsia" w:cstheme="minorEastAsia"/>
          <w:kern w:val="2"/>
          <w:sz w:val="24"/>
          <w:szCs w:val="24"/>
          <w:highlight w:val="none"/>
          <w:lang w:val="en-US" w:eastAsia="zh-CN" w:bidi="ar-SA"/>
        </w:rPr>
        <w:t>活动、榜样</w:t>
      </w:r>
      <w:r>
        <w:rPr>
          <w:rFonts w:hint="default" w:asciiTheme="minorEastAsia" w:hAnsiTheme="minorEastAsia" w:eastAsiaTheme="minorEastAsia" w:cstheme="minorEastAsia"/>
          <w:kern w:val="2"/>
          <w:sz w:val="24"/>
          <w:szCs w:val="24"/>
          <w:highlight w:val="none"/>
          <w:lang w:val="en-US" w:eastAsia="zh-CN" w:bidi="ar-SA"/>
        </w:rPr>
        <w:t>引领</w:t>
      </w:r>
      <w:r>
        <w:rPr>
          <w:rFonts w:hint="eastAsia" w:asciiTheme="minorEastAsia" w:hAnsiTheme="minorEastAsia" w:eastAsiaTheme="minorEastAsia" w:cstheme="minorEastAsia"/>
          <w:kern w:val="2"/>
          <w:sz w:val="24"/>
          <w:szCs w:val="24"/>
          <w:highlight w:val="none"/>
          <w:lang w:val="en-US" w:eastAsia="zh-CN" w:bidi="ar-SA"/>
        </w:rPr>
        <w:t>、多元平台</w:t>
      </w:r>
      <w:r>
        <w:rPr>
          <w:rFonts w:hint="default" w:asciiTheme="minorEastAsia" w:hAnsiTheme="minorEastAsia" w:eastAsiaTheme="minorEastAsia" w:cstheme="minorEastAsia"/>
          <w:kern w:val="2"/>
          <w:sz w:val="24"/>
          <w:szCs w:val="24"/>
          <w:highlight w:val="none"/>
          <w:lang w:val="en-US" w:eastAsia="zh-CN" w:bidi="ar-SA"/>
        </w:rPr>
        <w:t>相结合，打造</w:t>
      </w:r>
      <w:r>
        <w:rPr>
          <w:rFonts w:hint="eastAsia" w:asciiTheme="minorEastAsia" w:hAnsiTheme="minorEastAsia" w:eastAsiaTheme="minorEastAsia" w:cstheme="minorEastAsia"/>
          <w:kern w:val="2"/>
          <w:sz w:val="24"/>
          <w:szCs w:val="24"/>
          <w:highlight w:val="none"/>
          <w:lang w:val="en-US" w:eastAsia="zh-CN" w:bidi="ar-SA"/>
        </w:rPr>
        <w:t>适合高水平应用型大学的</w:t>
      </w:r>
      <w:r>
        <w:rPr>
          <w:rFonts w:hint="default" w:asciiTheme="minorEastAsia" w:hAnsiTheme="minorEastAsia" w:eastAsiaTheme="minorEastAsia" w:cstheme="minorEastAsia"/>
          <w:kern w:val="2"/>
          <w:sz w:val="24"/>
          <w:szCs w:val="24"/>
          <w:highlight w:val="none"/>
          <w:lang w:val="en-US" w:eastAsia="zh-CN" w:bidi="ar-SA"/>
        </w:rPr>
        <w:t>学风品牌。</w:t>
      </w:r>
    </w:p>
    <w:p>
      <w:pPr>
        <w:widowControl/>
        <w:spacing w:line="400" w:lineRule="exact"/>
        <w:ind w:firstLine="480" w:firstLineChars="200"/>
        <w:jc w:val="both"/>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建激励体系，提升学风建设</w:t>
      </w:r>
      <w:r>
        <w:rPr>
          <w:rFonts w:hint="default" w:asciiTheme="minorEastAsia" w:hAnsiTheme="minorEastAsia" w:eastAsiaTheme="minorEastAsia" w:cstheme="minorEastAsia"/>
          <w:kern w:val="2"/>
          <w:sz w:val="24"/>
          <w:szCs w:val="24"/>
          <w:highlight w:val="none"/>
          <w:lang w:val="en-US" w:eastAsia="zh-CN" w:bidi="ar-SA"/>
        </w:rPr>
        <w:t>聚合力</w:t>
      </w:r>
      <w:r>
        <w:rPr>
          <w:rFonts w:hint="eastAsia" w:asciiTheme="minorEastAsia" w:hAnsiTheme="minorEastAsia" w:eastAsiaTheme="minorEastAsia" w:cstheme="minorEastAsia"/>
          <w:kern w:val="2"/>
          <w:sz w:val="24"/>
          <w:szCs w:val="24"/>
          <w:highlight w:val="none"/>
          <w:lang w:val="en-US" w:eastAsia="zh-CN" w:bidi="ar-SA"/>
        </w:rPr>
        <w:t>。构建学生激励体系，</w:t>
      </w:r>
      <w:r>
        <w:rPr>
          <w:rFonts w:hint="default" w:asciiTheme="minorEastAsia" w:hAnsiTheme="minorEastAsia" w:eastAsiaTheme="minorEastAsia" w:cstheme="minorEastAsia"/>
          <w:kern w:val="2"/>
          <w:sz w:val="24"/>
          <w:szCs w:val="24"/>
          <w:highlight w:val="none"/>
          <w:lang w:val="en-US" w:eastAsia="zh-CN" w:bidi="ar-SA"/>
        </w:rPr>
        <w:t>完善综合评价</w:t>
      </w:r>
      <w:r>
        <w:rPr>
          <w:rFonts w:hint="eastAsia" w:asciiTheme="minorEastAsia" w:hAnsiTheme="minorEastAsia" w:eastAsiaTheme="minorEastAsia" w:cstheme="minorEastAsia"/>
          <w:kern w:val="2"/>
          <w:sz w:val="24"/>
          <w:szCs w:val="24"/>
          <w:highlight w:val="none"/>
          <w:lang w:val="en-US" w:eastAsia="zh-CN" w:bidi="ar-SA"/>
        </w:rPr>
        <w:t>标准</w:t>
      </w:r>
      <w:r>
        <w:rPr>
          <w:rFonts w:hint="default" w:asciiTheme="minorEastAsia" w:hAnsiTheme="minorEastAsia" w:eastAsiaTheme="minorEastAsia" w:cstheme="minorEastAsia"/>
          <w:kern w:val="2"/>
          <w:sz w:val="24"/>
          <w:szCs w:val="24"/>
          <w:highlight w:val="none"/>
          <w:lang w:val="en-US" w:eastAsia="zh-CN" w:bidi="ar-SA"/>
        </w:rPr>
        <w:t>。202</w:t>
      </w:r>
      <w:r>
        <w:rPr>
          <w:rFonts w:hint="eastAsia" w:asciiTheme="minorEastAsia" w:hAnsiTheme="minorEastAsia" w:eastAsiaTheme="minorEastAsia" w:cstheme="minorEastAsia"/>
          <w:kern w:val="2"/>
          <w:sz w:val="24"/>
          <w:szCs w:val="24"/>
          <w:highlight w:val="none"/>
          <w:lang w:val="en-US" w:eastAsia="zh-CN" w:bidi="ar-SA"/>
        </w:rPr>
        <w:t>3</w:t>
      </w:r>
      <w:r>
        <w:rPr>
          <w:rFonts w:hint="default" w:asciiTheme="minorEastAsia" w:hAnsiTheme="minorEastAsia" w:eastAsiaTheme="minorEastAsia" w:cstheme="minorEastAsia"/>
          <w:kern w:val="2"/>
          <w:sz w:val="24"/>
          <w:szCs w:val="24"/>
          <w:highlight w:val="none"/>
          <w:lang w:val="en-US" w:eastAsia="zh-CN" w:bidi="ar-SA"/>
        </w:rPr>
        <w:t>年学校评选各类奖学金</w:t>
      </w:r>
      <w:r>
        <w:rPr>
          <w:rFonts w:hint="eastAsia" w:asciiTheme="minorEastAsia" w:hAnsiTheme="minorEastAsia" w:eastAsiaTheme="minorEastAsia" w:cstheme="minorEastAsia"/>
          <w:kern w:val="2"/>
          <w:sz w:val="24"/>
          <w:szCs w:val="24"/>
          <w:highlight w:val="none"/>
          <w:lang w:val="en-US" w:eastAsia="zh-CN" w:bidi="ar-SA"/>
        </w:rPr>
        <w:t>1455</w:t>
      </w:r>
      <w:r>
        <w:rPr>
          <w:rFonts w:hint="default" w:asciiTheme="minorEastAsia" w:hAnsiTheme="minorEastAsia" w:eastAsiaTheme="minorEastAsia" w:cstheme="minorEastAsia"/>
          <w:kern w:val="2"/>
          <w:sz w:val="24"/>
          <w:szCs w:val="24"/>
          <w:highlight w:val="none"/>
          <w:lang w:val="en-US" w:eastAsia="zh-CN" w:bidi="ar-SA"/>
        </w:rPr>
        <w:t>人次</w:t>
      </w:r>
      <w:r>
        <w:rPr>
          <w:rFonts w:hint="eastAsia" w:asciiTheme="minorEastAsia" w:hAnsiTheme="minorEastAsia" w:eastAsiaTheme="minorEastAsia" w:cstheme="minorEastAsia"/>
          <w:kern w:val="2"/>
          <w:sz w:val="24"/>
          <w:szCs w:val="24"/>
          <w:highlight w:val="none"/>
          <w:lang w:val="en-US" w:eastAsia="zh-CN" w:bidi="ar-SA"/>
        </w:rPr>
        <w:t>，</w:t>
      </w:r>
      <w:r>
        <w:rPr>
          <w:rFonts w:hint="default" w:asciiTheme="minorEastAsia" w:hAnsiTheme="minorEastAsia" w:eastAsiaTheme="minorEastAsia" w:cstheme="minorEastAsia"/>
          <w:kern w:val="2"/>
          <w:sz w:val="24"/>
          <w:szCs w:val="24"/>
          <w:highlight w:val="none"/>
          <w:lang w:val="en-US" w:eastAsia="zh-CN" w:bidi="ar-SA"/>
        </w:rPr>
        <w:t>其中国家奖学金6人，奖励金额4.8万元；国家励志奖学金</w:t>
      </w:r>
      <w:r>
        <w:rPr>
          <w:rFonts w:hint="eastAsia" w:asciiTheme="minorEastAsia" w:hAnsiTheme="minorEastAsia" w:eastAsiaTheme="minorEastAsia" w:cstheme="minorEastAsia"/>
          <w:kern w:val="2"/>
          <w:sz w:val="24"/>
          <w:szCs w:val="24"/>
          <w:highlight w:val="none"/>
          <w:lang w:val="en-US" w:eastAsia="zh-CN" w:bidi="ar-SA"/>
        </w:rPr>
        <w:t>195</w:t>
      </w:r>
      <w:r>
        <w:rPr>
          <w:rFonts w:hint="default" w:asciiTheme="minorEastAsia" w:hAnsiTheme="minorEastAsia" w:eastAsiaTheme="minorEastAsia" w:cstheme="minorEastAsia"/>
          <w:kern w:val="2"/>
          <w:sz w:val="24"/>
          <w:szCs w:val="24"/>
          <w:highlight w:val="none"/>
          <w:lang w:val="en-US" w:eastAsia="zh-CN" w:bidi="ar-SA"/>
        </w:rPr>
        <w:t>人，奖励金额9</w:t>
      </w:r>
      <w:r>
        <w:rPr>
          <w:rFonts w:hint="eastAsia" w:asciiTheme="minorEastAsia" w:hAnsiTheme="minorEastAsia" w:eastAsiaTheme="minorEastAsia" w:cstheme="minorEastAsia"/>
          <w:kern w:val="2"/>
          <w:sz w:val="24"/>
          <w:szCs w:val="24"/>
          <w:highlight w:val="none"/>
          <w:lang w:val="en-US" w:eastAsia="zh-CN" w:bidi="ar-SA"/>
        </w:rPr>
        <w:t>7.</w:t>
      </w:r>
      <w:r>
        <w:rPr>
          <w:rFonts w:hint="default" w:asciiTheme="minorEastAsia" w:hAnsiTheme="minorEastAsia" w:eastAsiaTheme="minorEastAsia" w:cstheme="minorEastAsia"/>
          <w:kern w:val="2"/>
          <w:sz w:val="24"/>
          <w:szCs w:val="24"/>
          <w:highlight w:val="none"/>
          <w:lang w:val="en-US" w:eastAsia="zh-CN" w:bidi="ar-SA"/>
        </w:rPr>
        <w:t>5万元；浙江省政府奖学金</w:t>
      </w:r>
      <w:r>
        <w:rPr>
          <w:rFonts w:hint="eastAsia" w:asciiTheme="minorEastAsia" w:hAnsiTheme="minorEastAsia" w:eastAsiaTheme="minorEastAsia" w:cstheme="minorEastAsia"/>
          <w:kern w:val="2"/>
          <w:sz w:val="24"/>
          <w:szCs w:val="24"/>
          <w:highlight w:val="none"/>
          <w:lang w:val="en-US" w:eastAsia="zh-CN" w:bidi="ar-SA"/>
        </w:rPr>
        <w:t>200</w:t>
      </w:r>
      <w:r>
        <w:rPr>
          <w:rFonts w:hint="default" w:asciiTheme="minorEastAsia" w:hAnsiTheme="minorEastAsia" w:eastAsiaTheme="minorEastAsia" w:cstheme="minorEastAsia"/>
          <w:kern w:val="2"/>
          <w:sz w:val="24"/>
          <w:szCs w:val="24"/>
          <w:highlight w:val="none"/>
          <w:lang w:val="en-US" w:eastAsia="zh-CN" w:bidi="ar-SA"/>
        </w:rPr>
        <w:t>人，奖励金额</w:t>
      </w:r>
      <w:r>
        <w:rPr>
          <w:rFonts w:hint="eastAsia" w:asciiTheme="minorEastAsia" w:hAnsiTheme="minorEastAsia" w:eastAsiaTheme="minorEastAsia" w:cstheme="minorEastAsia"/>
          <w:kern w:val="2"/>
          <w:sz w:val="24"/>
          <w:szCs w:val="24"/>
          <w:highlight w:val="none"/>
          <w:lang w:val="en-US" w:eastAsia="zh-CN" w:bidi="ar-SA"/>
        </w:rPr>
        <w:t>120</w:t>
      </w:r>
      <w:r>
        <w:rPr>
          <w:rFonts w:hint="default" w:asciiTheme="minorEastAsia" w:hAnsiTheme="minorEastAsia" w:eastAsiaTheme="minorEastAsia" w:cstheme="minorEastAsia"/>
          <w:kern w:val="2"/>
          <w:sz w:val="24"/>
          <w:szCs w:val="24"/>
          <w:highlight w:val="none"/>
          <w:lang w:val="en-US" w:eastAsia="zh-CN" w:bidi="ar-SA"/>
        </w:rPr>
        <w:t>万元</w:t>
      </w:r>
      <w:r>
        <w:rPr>
          <w:rFonts w:hint="eastAsia" w:asciiTheme="minorEastAsia" w:hAnsiTheme="minorEastAsia" w:eastAsiaTheme="minorEastAsia" w:cstheme="minorEastAsia"/>
          <w:kern w:val="2"/>
          <w:sz w:val="24"/>
          <w:szCs w:val="24"/>
          <w:highlight w:val="none"/>
          <w:lang w:val="en-US" w:eastAsia="zh-CN" w:bidi="ar-SA"/>
        </w:rPr>
        <w:t>；校内学生奖学金共评选出894人次，名校研究生奖学金3人；校长奖学金8人；特等奖学金54人；一等奖学金397人（含毕业生考取研究生）；二等奖学金229人；三等奖学金203人，最终发放金额为100万1000元</w:t>
      </w:r>
      <w:r>
        <w:rPr>
          <w:rFonts w:hint="default" w:asciiTheme="minorEastAsia" w:hAnsiTheme="minorEastAsia" w:eastAsiaTheme="minorEastAsia" w:cstheme="minorEastAsia"/>
          <w:kern w:val="2"/>
          <w:sz w:val="24"/>
          <w:szCs w:val="24"/>
          <w:highlight w:val="none"/>
          <w:lang w:val="en-US" w:eastAsia="zh-CN" w:bidi="ar-SA"/>
        </w:rPr>
        <w:t>；</w:t>
      </w:r>
      <w:r>
        <w:rPr>
          <w:rFonts w:hint="eastAsia" w:asciiTheme="minorEastAsia" w:hAnsiTheme="minorEastAsia" w:eastAsiaTheme="minorEastAsia" w:cstheme="minorEastAsia"/>
          <w:kern w:val="2"/>
          <w:sz w:val="24"/>
          <w:szCs w:val="24"/>
          <w:highlight w:val="none"/>
          <w:lang w:val="en-US" w:eastAsia="zh-CN" w:bidi="ar-SA"/>
        </w:rPr>
        <w:t>外设奖学金“启航奖学金”“秋实奖学金”“官永義奖学金”3项共评选出160人，奖励金额34万元。</w:t>
      </w:r>
      <w:r>
        <w:rPr>
          <w:rFonts w:hint="default" w:asciiTheme="minorEastAsia" w:hAnsiTheme="minorEastAsia" w:eastAsiaTheme="minorEastAsia" w:cstheme="minorEastAsia"/>
          <w:kern w:val="2"/>
          <w:sz w:val="24"/>
          <w:szCs w:val="24"/>
          <w:highlight w:val="none"/>
          <w:lang w:val="en-US" w:eastAsia="zh-CN" w:bidi="ar-SA"/>
        </w:rPr>
        <w:t>202</w:t>
      </w:r>
      <w:r>
        <w:rPr>
          <w:rFonts w:hint="eastAsia" w:asciiTheme="minorEastAsia" w:hAnsiTheme="minorEastAsia" w:eastAsiaTheme="minorEastAsia" w:cstheme="minorEastAsia"/>
          <w:kern w:val="2"/>
          <w:sz w:val="24"/>
          <w:szCs w:val="24"/>
          <w:highlight w:val="none"/>
          <w:lang w:val="en-US" w:eastAsia="zh-CN" w:bidi="ar-SA"/>
        </w:rPr>
        <w:t>3</w:t>
      </w:r>
      <w:r>
        <w:rPr>
          <w:rFonts w:hint="default" w:asciiTheme="minorEastAsia" w:hAnsiTheme="minorEastAsia" w:eastAsiaTheme="minorEastAsia" w:cstheme="minorEastAsia"/>
          <w:kern w:val="2"/>
          <w:sz w:val="24"/>
          <w:szCs w:val="24"/>
          <w:highlight w:val="none"/>
          <w:lang w:val="en-US" w:eastAsia="zh-CN" w:bidi="ar-SA"/>
        </w:rPr>
        <w:t>年学校评选</w:t>
      </w:r>
      <w:r>
        <w:rPr>
          <w:rFonts w:hint="eastAsia" w:asciiTheme="minorEastAsia" w:hAnsiTheme="minorEastAsia" w:eastAsiaTheme="minorEastAsia" w:cstheme="minorEastAsia"/>
          <w:kern w:val="2"/>
          <w:sz w:val="24"/>
          <w:szCs w:val="24"/>
          <w:highlight w:val="none"/>
          <w:lang w:val="en-US" w:eastAsia="zh-CN" w:bidi="ar-SA"/>
        </w:rPr>
        <w:t>各类先进个人1239人次、优秀学生214人、优秀学生干部327人、校级优秀毕业生217人、省优秀毕业生95人。</w:t>
      </w:r>
    </w:p>
    <w:p>
      <w:pPr>
        <w:widowControl/>
        <w:spacing w:line="400" w:lineRule="exact"/>
        <w:ind w:firstLine="480" w:firstLineChars="200"/>
        <w:jc w:val="both"/>
        <w:rPr>
          <w:rFonts w:hint="default"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强监管严审核，把好考试和毕业出口关。持续</w:t>
      </w:r>
      <w:r>
        <w:rPr>
          <w:rFonts w:hint="default" w:asciiTheme="minorEastAsia" w:hAnsiTheme="minorEastAsia" w:eastAsiaTheme="minorEastAsia" w:cstheme="minorEastAsia"/>
          <w:kern w:val="2"/>
          <w:sz w:val="24"/>
          <w:szCs w:val="24"/>
          <w:highlight w:val="none"/>
          <w:lang w:val="en-US" w:eastAsia="zh-CN" w:bidi="ar-SA"/>
        </w:rPr>
        <w:t>推进考试改革，大力实施</w:t>
      </w:r>
      <w:r>
        <w:rPr>
          <w:rFonts w:hint="eastAsia" w:asciiTheme="minorEastAsia" w:hAnsiTheme="minorEastAsia" w:eastAsiaTheme="minorEastAsia" w:cstheme="minorEastAsia"/>
          <w:kern w:val="2"/>
          <w:sz w:val="24"/>
          <w:szCs w:val="24"/>
          <w:highlight w:val="none"/>
          <w:lang w:val="en-US" w:eastAsia="zh-CN" w:bidi="ar-SA"/>
        </w:rPr>
        <w:t>“教考分离”，</w:t>
      </w:r>
      <w:r>
        <w:rPr>
          <w:rFonts w:hint="default" w:asciiTheme="minorEastAsia" w:hAnsiTheme="minorEastAsia" w:eastAsiaTheme="minorEastAsia" w:cstheme="minorEastAsia"/>
          <w:kern w:val="2"/>
          <w:sz w:val="24"/>
          <w:szCs w:val="24"/>
          <w:highlight w:val="none"/>
          <w:lang w:val="en-US" w:eastAsia="zh-CN" w:bidi="ar-SA"/>
        </w:rPr>
        <w:t>202</w:t>
      </w:r>
      <w:r>
        <w:rPr>
          <w:rFonts w:hint="eastAsia" w:asciiTheme="minorEastAsia" w:hAnsiTheme="minorEastAsia" w:eastAsiaTheme="minorEastAsia" w:cstheme="minorEastAsia"/>
          <w:kern w:val="2"/>
          <w:sz w:val="24"/>
          <w:szCs w:val="24"/>
          <w:highlight w:val="none"/>
          <w:lang w:val="en-US" w:eastAsia="zh-CN" w:bidi="ar-SA"/>
        </w:rPr>
        <w:t>3</w:t>
      </w:r>
      <w:r>
        <w:rPr>
          <w:rFonts w:hint="default" w:asciiTheme="minorEastAsia" w:hAnsiTheme="minorEastAsia" w:eastAsiaTheme="minorEastAsia" w:cstheme="minorEastAsia"/>
          <w:kern w:val="2"/>
          <w:sz w:val="24"/>
          <w:szCs w:val="24"/>
          <w:highlight w:val="none"/>
          <w:lang w:val="en-US" w:eastAsia="zh-CN" w:bidi="ar-SA"/>
        </w:rPr>
        <w:t>-202</w:t>
      </w:r>
      <w:r>
        <w:rPr>
          <w:rFonts w:hint="eastAsia" w:asciiTheme="minorEastAsia" w:hAnsiTheme="minorEastAsia" w:eastAsiaTheme="minorEastAsia" w:cstheme="minorEastAsia"/>
          <w:kern w:val="2"/>
          <w:sz w:val="24"/>
          <w:szCs w:val="24"/>
          <w:highlight w:val="none"/>
          <w:lang w:val="en-US" w:eastAsia="zh-CN" w:bidi="ar-SA"/>
        </w:rPr>
        <w:t>4</w:t>
      </w:r>
      <w:r>
        <w:rPr>
          <w:rFonts w:hint="default" w:asciiTheme="minorEastAsia" w:hAnsiTheme="minorEastAsia" w:eastAsiaTheme="minorEastAsia" w:cstheme="minorEastAsia"/>
          <w:kern w:val="2"/>
          <w:sz w:val="24"/>
          <w:szCs w:val="24"/>
          <w:highlight w:val="none"/>
          <w:lang w:val="en-US" w:eastAsia="zh-CN" w:bidi="ar-SA"/>
        </w:rPr>
        <w:t>学年实施教考分离课程</w:t>
      </w:r>
      <w:r>
        <w:rPr>
          <w:rFonts w:hint="eastAsia" w:asciiTheme="minorEastAsia" w:hAnsiTheme="minorEastAsia" w:eastAsiaTheme="minorEastAsia" w:cstheme="minorEastAsia"/>
          <w:kern w:val="2"/>
          <w:sz w:val="24"/>
          <w:szCs w:val="24"/>
          <w:highlight w:val="none"/>
          <w:lang w:val="en-US" w:eastAsia="zh-CN" w:bidi="ar-SA"/>
        </w:rPr>
        <w:t>74</w:t>
      </w:r>
      <w:r>
        <w:rPr>
          <w:rFonts w:hint="default" w:asciiTheme="minorEastAsia" w:hAnsiTheme="minorEastAsia" w:eastAsiaTheme="minorEastAsia" w:cstheme="minorEastAsia"/>
          <w:kern w:val="2"/>
          <w:sz w:val="24"/>
          <w:szCs w:val="24"/>
          <w:highlight w:val="none"/>
          <w:lang w:val="en-US" w:eastAsia="zh-CN" w:bidi="ar-SA"/>
        </w:rPr>
        <w:t>门</w:t>
      </w:r>
      <w:r>
        <w:rPr>
          <w:rFonts w:hint="eastAsia" w:asciiTheme="minorEastAsia" w:hAnsiTheme="minorEastAsia" w:eastAsiaTheme="minorEastAsia" w:cstheme="minorEastAsia"/>
          <w:kern w:val="2"/>
          <w:sz w:val="24"/>
          <w:szCs w:val="24"/>
          <w:highlight w:val="none"/>
          <w:lang w:val="en-US" w:eastAsia="zh-CN" w:bidi="ar-SA"/>
        </w:rPr>
        <w:t>；</w:t>
      </w:r>
      <w:r>
        <w:rPr>
          <w:rFonts w:hint="default" w:asciiTheme="minorEastAsia" w:hAnsiTheme="minorEastAsia" w:eastAsiaTheme="minorEastAsia" w:cstheme="minorEastAsia"/>
          <w:kern w:val="2"/>
          <w:sz w:val="24"/>
          <w:szCs w:val="24"/>
          <w:highlight w:val="none"/>
          <w:lang w:val="en-US" w:eastAsia="zh-CN" w:bidi="ar-SA"/>
        </w:rPr>
        <w:t>逐步</w:t>
      </w:r>
      <w:r>
        <w:rPr>
          <w:rFonts w:hint="eastAsia" w:asciiTheme="minorEastAsia" w:hAnsiTheme="minorEastAsia" w:eastAsiaTheme="minorEastAsia" w:cstheme="minorEastAsia"/>
          <w:kern w:val="2"/>
          <w:sz w:val="24"/>
          <w:szCs w:val="24"/>
          <w:highlight w:val="none"/>
          <w:lang w:val="en-US" w:eastAsia="zh-CN" w:bidi="ar-SA"/>
        </w:rPr>
        <w:t>推</w:t>
      </w:r>
      <w:r>
        <w:rPr>
          <w:rFonts w:hint="default" w:asciiTheme="minorEastAsia" w:hAnsiTheme="minorEastAsia" w:eastAsiaTheme="minorEastAsia" w:cstheme="minorEastAsia"/>
          <w:kern w:val="2"/>
          <w:sz w:val="24"/>
          <w:szCs w:val="24"/>
          <w:highlight w:val="none"/>
          <w:lang w:val="en-US" w:eastAsia="zh-CN" w:bidi="ar-SA"/>
        </w:rPr>
        <w:t>进</w:t>
      </w:r>
      <w:r>
        <w:rPr>
          <w:rFonts w:hint="eastAsia" w:asciiTheme="minorEastAsia" w:hAnsiTheme="minorEastAsia" w:eastAsiaTheme="minorEastAsia" w:cstheme="minorEastAsia"/>
          <w:kern w:val="2"/>
          <w:sz w:val="24"/>
          <w:szCs w:val="24"/>
          <w:highlight w:val="none"/>
          <w:lang w:val="en-US" w:eastAsia="zh-CN" w:bidi="ar-SA"/>
        </w:rPr>
        <w:t>阅卷迈向“无纸化”，2023-2024-2学期试点“线上答卷、线上阅卷”课程1门，“线下答卷、线上阅卷”课程5门</w:t>
      </w:r>
      <w:r>
        <w:rPr>
          <w:rFonts w:hint="default" w:asciiTheme="minorEastAsia" w:hAnsiTheme="minorEastAsia" w:eastAsiaTheme="minorEastAsia" w:cstheme="minorEastAsia"/>
          <w:kern w:val="2"/>
          <w:sz w:val="24"/>
          <w:szCs w:val="24"/>
          <w:highlight w:val="none"/>
          <w:lang w:val="en-US" w:eastAsia="zh-CN" w:bidi="ar-SA"/>
        </w:rPr>
        <w:t>。高度重视考风考纪建设，将其与诚信教育紧密结合，着力提升学生的考试诚信观念，</w:t>
      </w:r>
      <w:r>
        <w:rPr>
          <w:rFonts w:hint="eastAsia" w:asciiTheme="minorEastAsia" w:hAnsiTheme="minorEastAsia" w:eastAsiaTheme="minorEastAsia" w:cstheme="minorEastAsia"/>
          <w:kern w:val="2"/>
          <w:sz w:val="24"/>
          <w:szCs w:val="24"/>
          <w:highlight w:val="none"/>
          <w:lang w:val="en-US" w:eastAsia="zh-CN" w:bidi="ar-SA"/>
        </w:rPr>
        <w:t>本</w:t>
      </w:r>
      <w:r>
        <w:rPr>
          <w:rFonts w:hint="default" w:asciiTheme="minorEastAsia" w:hAnsiTheme="minorEastAsia" w:eastAsiaTheme="minorEastAsia" w:cstheme="minorEastAsia"/>
          <w:kern w:val="2"/>
          <w:sz w:val="24"/>
          <w:szCs w:val="24"/>
          <w:highlight w:val="none"/>
          <w:lang w:val="en-US" w:eastAsia="zh-CN" w:bidi="ar-SA"/>
        </w:rPr>
        <w:t>学年因考试作弊共处分学生</w:t>
      </w:r>
      <w:r>
        <w:rPr>
          <w:rFonts w:hint="eastAsia" w:asciiTheme="minorEastAsia" w:hAnsiTheme="minorEastAsia" w:eastAsiaTheme="minorEastAsia" w:cstheme="minorEastAsia"/>
          <w:kern w:val="2"/>
          <w:sz w:val="24"/>
          <w:szCs w:val="24"/>
          <w:highlight w:val="none"/>
          <w:lang w:val="en-US" w:eastAsia="zh-CN" w:bidi="ar-SA"/>
        </w:rPr>
        <w:t>24</w:t>
      </w:r>
      <w:r>
        <w:rPr>
          <w:rFonts w:hint="default" w:asciiTheme="minorEastAsia" w:hAnsiTheme="minorEastAsia" w:eastAsiaTheme="minorEastAsia" w:cstheme="minorEastAsia"/>
          <w:kern w:val="2"/>
          <w:sz w:val="24"/>
          <w:szCs w:val="24"/>
          <w:highlight w:val="none"/>
          <w:lang w:val="en-US" w:eastAsia="zh-CN" w:bidi="ar-SA"/>
        </w:rPr>
        <w:t>人次。严把毕业出口关，做好毕业与学位审核，建立学生自查、学院审查、学校复查的工作机制，为学生顺利完成学业提供保障，202</w:t>
      </w:r>
      <w:r>
        <w:rPr>
          <w:rFonts w:hint="eastAsia" w:asciiTheme="minorEastAsia" w:hAnsiTheme="minorEastAsia" w:eastAsiaTheme="minorEastAsia" w:cstheme="minorEastAsia"/>
          <w:kern w:val="2"/>
          <w:sz w:val="24"/>
          <w:szCs w:val="24"/>
          <w:highlight w:val="none"/>
          <w:lang w:val="en-US" w:eastAsia="zh-CN" w:bidi="ar-SA"/>
        </w:rPr>
        <w:t>4</w:t>
      </w:r>
      <w:r>
        <w:rPr>
          <w:rFonts w:hint="default" w:asciiTheme="minorEastAsia" w:hAnsiTheme="minorEastAsia" w:eastAsiaTheme="minorEastAsia" w:cstheme="minorEastAsia"/>
          <w:kern w:val="2"/>
          <w:sz w:val="24"/>
          <w:szCs w:val="24"/>
          <w:highlight w:val="none"/>
          <w:lang w:val="en-US" w:eastAsia="zh-CN" w:bidi="ar-SA"/>
        </w:rPr>
        <w:t>届本科毕业生未按时毕业</w:t>
      </w:r>
      <w:r>
        <w:rPr>
          <w:rFonts w:hint="eastAsia" w:asciiTheme="minorEastAsia" w:hAnsiTheme="minorEastAsia" w:eastAsiaTheme="minorEastAsia" w:cstheme="minorEastAsia"/>
          <w:kern w:val="2"/>
          <w:sz w:val="24"/>
          <w:szCs w:val="24"/>
          <w:highlight w:val="none"/>
          <w:lang w:val="en-US" w:eastAsia="zh-CN" w:bidi="ar-SA"/>
        </w:rPr>
        <w:t>40</w:t>
      </w:r>
      <w:r>
        <w:rPr>
          <w:rFonts w:hint="default" w:asciiTheme="minorEastAsia" w:hAnsiTheme="minorEastAsia" w:eastAsiaTheme="minorEastAsia" w:cstheme="minorEastAsia"/>
          <w:kern w:val="2"/>
          <w:sz w:val="24"/>
          <w:szCs w:val="24"/>
          <w:highlight w:val="none"/>
          <w:lang w:val="en-US" w:eastAsia="zh-CN" w:bidi="ar-SA"/>
        </w:rPr>
        <w:t>人，不能获得学士学位</w:t>
      </w:r>
      <w:r>
        <w:rPr>
          <w:rFonts w:hint="eastAsia" w:asciiTheme="minorEastAsia" w:hAnsiTheme="minorEastAsia" w:eastAsiaTheme="minorEastAsia" w:cstheme="minorEastAsia"/>
          <w:kern w:val="2"/>
          <w:sz w:val="24"/>
          <w:szCs w:val="24"/>
          <w:highlight w:val="none"/>
          <w:lang w:val="en-US" w:eastAsia="zh-CN" w:bidi="ar-SA"/>
        </w:rPr>
        <w:t>50</w:t>
      </w:r>
      <w:r>
        <w:rPr>
          <w:rFonts w:hint="default" w:asciiTheme="minorEastAsia" w:hAnsiTheme="minorEastAsia" w:eastAsiaTheme="minorEastAsia" w:cstheme="minorEastAsia"/>
          <w:kern w:val="2"/>
          <w:sz w:val="24"/>
          <w:szCs w:val="24"/>
          <w:highlight w:val="none"/>
          <w:lang w:val="en-US" w:eastAsia="zh-CN" w:bidi="ar-SA"/>
        </w:rPr>
        <w:t>人。</w:t>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0"/>
        <w:rPr>
          <w:rFonts w:hint="eastAsia" w:ascii="黑体" w:hAnsi="黑体" w:eastAsia="黑体" w:cs="黑体"/>
          <w:b w:val="0"/>
          <w:bCs w:val="0"/>
          <w:color w:val="auto"/>
          <w:kern w:val="2"/>
          <w:sz w:val="30"/>
          <w:szCs w:val="30"/>
          <w:lang w:val="en-US" w:eastAsia="zh-CN" w:bidi="ar-SA"/>
        </w:rPr>
      </w:pPr>
      <w:bookmarkStart w:id="56" w:name="_Toc2622"/>
      <w:r>
        <w:rPr>
          <w:rFonts w:hint="eastAsia" w:ascii="黑体" w:hAnsi="黑体" w:eastAsia="黑体" w:cs="黑体"/>
          <w:b w:val="0"/>
          <w:bCs w:val="0"/>
          <w:color w:val="auto"/>
          <w:kern w:val="2"/>
          <w:sz w:val="30"/>
          <w:szCs w:val="30"/>
          <w:lang w:val="en-US" w:eastAsia="zh-CN" w:bidi="ar-SA"/>
        </w:rPr>
        <w:t>五、质量保障体系</w:t>
      </w:r>
      <w:bookmarkEnd w:id="56"/>
      <w:r>
        <w:rPr>
          <w:rFonts w:hint="eastAsia" w:ascii="黑体" w:hAnsi="黑体" w:eastAsia="黑体" w:cs="黑体"/>
          <w:b w:val="0"/>
          <w:bCs w:val="0"/>
          <w:color w:val="auto"/>
          <w:kern w:val="2"/>
          <w:sz w:val="30"/>
          <w:szCs w:val="30"/>
          <w:lang w:val="en-US" w:eastAsia="zh-CN" w:bidi="ar-SA"/>
        </w:rPr>
        <w:tab/>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1"/>
        <w:rPr>
          <w:rFonts w:hint="eastAsia" w:asciiTheme="minorEastAsia" w:hAnsiTheme="minorEastAsia" w:eastAsiaTheme="minorEastAsia" w:cstheme="minorEastAsia"/>
          <w:sz w:val="28"/>
          <w:szCs w:val="28"/>
          <w:lang w:val="en-US" w:eastAsia="zh-CN"/>
        </w:rPr>
      </w:pPr>
      <w:bookmarkStart w:id="57" w:name="_Toc910"/>
      <w:r>
        <w:rPr>
          <w:rFonts w:hint="eastAsia" w:ascii="黑体" w:hAnsi="黑体" w:eastAsia="黑体" w:cs="黑体"/>
          <w:b w:val="0"/>
          <w:bCs w:val="0"/>
          <w:color w:val="auto"/>
          <w:kern w:val="2"/>
          <w:sz w:val="28"/>
          <w:szCs w:val="28"/>
          <w:lang w:val="en-US" w:eastAsia="zh-CN" w:bidi="ar-SA"/>
        </w:rPr>
        <w:t>（一）人才培养中心地位落实情况</w:t>
      </w:r>
      <w:bookmarkEnd w:id="57"/>
    </w:p>
    <w:p>
      <w:pPr>
        <w:widowControl/>
        <w:spacing w:line="400" w:lineRule="exact"/>
        <w:ind w:firstLine="480" w:firstLineChars="200"/>
        <w:jc w:val="both"/>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校领导班子高度重视。学校领导班子高度重视本科教学工作，带领全校上下深入学习领会习近平总书记的指示精神和关于高等教育的重要论述。学校党委行政切实履行党政主要领导的教学工作第一责任人职责，把本科教学工作列入学校党委和行政的年度工作要点，将人才培养议题列为党委会、校长办公会重要议题。学校党委会、校长办公会3次学习传达习近平总书记的重要讲话精神及上级对教育的指示，62次研究讨论本科教育重要事宜，涉及学科专业设置优化调整、一流本科课程建设、教学研究与改革、本科教学质量监控、师德师风建设、合作办学、教学成果奖评审、教学经费投入等内容；审定《湖州学院现代产业学院建设与管理办法（试行）》等14项教学规章制度文件。</w:t>
      </w:r>
    </w:p>
    <w:p>
      <w:pPr>
        <w:widowControl/>
        <w:spacing w:line="400" w:lineRule="exact"/>
        <w:ind w:firstLine="480" w:firstLineChars="200"/>
        <w:jc w:val="both"/>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压实二级学院主体责任。完善校院两级教学管理体制，压实二级学院本科教学主体责任。健全基层教学组织，加强教学管理队伍建设，稳步实现教学管理工作重心下移，提升二级学院教学管理的自主性。实施本科教学工作例会制度，本学年召开二级学院本科教学工作例会13次，实施二级学院院长年度本科教学工作述职制度，将二级学院院长年度本科教学工作述职测评情况纳入二级学院年度教学工作考核和二级学院院长个人年度考核。</w:t>
      </w:r>
    </w:p>
    <w:p>
      <w:pPr>
        <w:widowControl/>
        <w:spacing w:line="400" w:lineRule="exact"/>
        <w:ind w:firstLine="480" w:firstLineChars="200"/>
        <w:jc w:val="both"/>
        <w:rPr>
          <w:rFonts w:hint="default"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持续实施</w:t>
      </w:r>
      <w:r>
        <w:rPr>
          <w:rFonts w:hint="default" w:asciiTheme="minorEastAsia" w:hAnsiTheme="minorEastAsia" w:eastAsiaTheme="minorEastAsia" w:cstheme="minorEastAsia"/>
          <w:kern w:val="2"/>
          <w:sz w:val="24"/>
          <w:szCs w:val="24"/>
          <w:highlight w:val="none"/>
          <w:lang w:val="en-US" w:eastAsia="zh-CN" w:bidi="ar-SA"/>
        </w:rPr>
        <w:t>教学激励。落实《湖州学院教学工作业绩认定和计分办法》，将教学成果奖、专业建设、教学建设项目、教学荣誉、教学竞赛、指导学生科技创新与学科竞赛获奖、教学研究成果等均纳入教学工作业绩认定，按年度发放奖励经费，同时教学业绩在职称评定、岗位聘任、绩效考核中予以认可，极大激发广大教师投身教学的积极性，营造以为教学中心的良好氛围</w:t>
      </w:r>
      <w:r>
        <w:rPr>
          <w:rFonts w:hint="eastAsia" w:asciiTheme="minorEastAsia" w:hAnsiTheme="minorEastAsia" w:eastAsiaTheme="minorEastAsia" w:cstheme="minorEastAsia"/>
          <w:kern w:val="2"/>
          <w:sz w:val="24"/>
          <w:szCs w:val="24"/>
          <w:highlight w:val="none"/>
          <w:lang w:val="en-US" w:eastAsia="zh-CN" w:bidi="ar-SA"/>
        </w:rPr>
        <w:t>。</w:t>
      </w:r>
      <w:r>
        <w:rPr>
          <w:rFonts w:hint="default" w:asciiTheme="minorEastAsia" w:hAnsiTheme="minorEastAsia" w:eastAsiaTheme="minorEastAsia" w:cstheme="minorEastAsia"/>
          <w:kern w:val="2"/>
          <w:sz w:val="24"/>
          <w:szCs w:val="24"/>
          <w:highlight w:val="none"/>
          <w:lang w:val="en-US" w:eastAsia="zh-CN" w:bidi="ar-SA"/>
        </w:rPr>
        <w:t>2023年共奖励各类教学业绩计分20254分，其中教学建设类业绩4150分，实践教学类业绩14906分，教师教学竞赛业绩288分，教坛新秀业绩760分，教学管理类荣誉业绩150分。落实《优质课堂认定及奖励办法（试行）》，对一流课程、名师课程和学评教三类符合条件的优质课堂进行奖励，在教学工作量核算时增加系数，享受优课优酬</w:t>
      </w:r>
      <w:r>
        <w:rPr>
          <w:rFonts w:hint="eastAsia" w:asciiTheme="minorEastAsia" w:hAnsiTheme="minorEastAsia" w:eastAsiaTheme="minorEastAsia" w:cstheme="minorEastAsia"/>
          <w:kern w:val="2"/>
          <w:sz w:val="24"/>
          <w:szCs w:val="24"/>
          <w:highlight w:val="none"/>
          <w:lang w:val="en-US" w:eastAsia="zh-CN" w:bidi="ar-SA"/>
        </w:rPr>
        <w:t>，奖励优质课堂1900课时</w:t>
      </w:r>
      <w:r>
        <w:rPr>
          <w:rFonts w:hint="default" w:asciiTheme="minorEastAsia" w:hAnsiTheme="minorEastAsia" w:eastAsiaTheme="minorEastAsia" w:cstheme="minorEastAsia"/>
          <w:kern w:val="2"/>
          <w:sz w:val="24"/>
          <w:szCs w:val="24"/>
          <w:highlight w:val="none"/>
          <w:lang w:val="en-US" w:eastAsia="zh-CN" w:bidi="ar-SA"/>
        </w:rPr>
        <w:t>。</w:t>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1"/>
        <w:rPr>
          <w:rFonts w:hint="eastAsia" w:asciiTheme="minorEastAsia" w:hAnsiTheme="minorEastAsia" w:eastAsiaTheme="minorEastAsia" w:cstheme="minorEastAsia"/>
          <w:sz w:val="30"/>
          <w:szCs w:val="30"/>
        </w:rPr>
      </w:pPr>
      <w:bookmarkStart w:id="58" w:name="_Toc357"/>
      <w:r>
        <w:rPr>
          <w:rFonts w:hint="eastAsia" w:ascii="黑体" w:hAnsi="黑体" w:eastAsia="黑体" w:cs="黑体"/>
          <w:b w:val="0"/>
          <w:bCs w:val="0"/>
          <w:color w:val="auto"/>
          <w:kern w:val="2"/>
          <w:sz w:val="28"/>
          <w:szCs w:val="28"/>
          <w:lang w:val="en-US" w:eastAsia="zh-CN" w:bidi="ar-SA"/>
        </w:rPr>
        <w:t>（二）本科教学质量保障体系建设情况</w:t>
      </w:r>
      <w:bookmarkEnd w:id="58"/>
      <w:r>
        <w:rPr>
          <w:rFonts w:hint="eastAsia" w:asciiTheme="minorEastAsia" w:hAnsiTheme="minorEastAsia" w:eastAsiaTheme="minorEastAsia" w:cstheme="minorEastAsia"/>
          <w:sz w:val="30"/>
          <w:szCs w:val="30"/>
        </w:rPr>
        <w:tab/>
      </w:r>
    </w:p>
    <w:p>
      <w:pPr>
        <w:widowControl/>
        <w:spacing w:line="400" w:lineRule="exact"/>
        <w:ind w:firstLine="480" w:firstLineChars="200"/>
        <w:jc w:val="both"/>
        <w:rPr>
          <w:rFonts w:hint="default"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发挥三支队伍作用。执行《湖州学院领导干部听课制度暂行规定》《湖州学院教学督导委员会章程》《湖州学院学生教学信息员制度实施办法》，充分发挥领导干部、教学督导、学生信息员三支质量监控队伍的作用。每学期开展全校领导干部听课工作，2023-2024学年全校领导干部听课463课次；其中，校领导听课48课次。发挥校院两级督导“督教、督管、督学”职能，本学年校教学督导16人，共开展常规听课468节、抽查试卷132份，编制《教学督导工作简报》2期；院级督导 29人，听课496 次，有效保障学校本科教学质量。</w:t>
      </w:r>
      <w:r>
        <w:rPr>
          <w:rFonts w:hint="default" w:asciiTheme="minorEastAsia" w:hAnsiTheme="minorEastAsia" w:eastAsiaTheme="minorEastAsia" w:cstheme="minorEastAsia"/>
          <w:kern w:val="2"/>
          <w:sz w:val="24"/>
          <w:szCs w:val="24"/>
          <w:highlight w:val="none"/>
          <w:lang w:val="en-US" w:eastAsia="zh-CN" w:bidi="ar-SA"/>
        </w:rPr>
        <w:t>本学年共</w:t>
      </w:r>
      <w:r>
        <w:rPr>
          <w:rFonts w:hint="eastAsia" w:asciiTheme="minorEastAsia" w:hAnsiTheme="minorEastAsia" w:eastAsiaTheme="minorEastAsia" w:cstheme="minorEastAsia"/>
          <w:kern w:val="2"/>
          <w:sz w:val="24"/>
          <w:szCs w:val="24"/>
          <w:highlight w:val="none"/>
          <w:lang w:val="en-US" w:eastAsia="zh-CN" w:bidi="ar-SA"/>
        </w:rPr>
        <w:t>有</w:t>
      </w:r>
      <w:r>
        <w:rPr>
          <w:rFonts w:hint="default" w:asciiTheme="minorEastAsia" w:hAnsiTheme="minorEastAsia" w:eastAsiaTheme="minorEastAsia" w:cstheme="minorEastAsia"/>
          <w:kern w:val="2"/>
          <w:sz w:val="24"/>
          <w:szCs w:val="24"/>
          <w:highlight w:val="none"/>
          <w:lang w:val="en-US" w:eastAsia="zh-CN" w:bidi="ar-SA"/>
        </w:rPr>
        <w:t>学生教学信息员230名，反馈学生教学信息13次，</w:t>
      </w:r>
      <w:r>
        <w:rPr>
          <w:rFonts w:hint="eastAsia" w:asciiTheme="minorEastAsia" w:hAnsiTheme="minorEastAsia" w:eastAsiaTheme="minorEastAsia" w:cstheme="minorEastAsia"/>
          <w:kern w:val="2"/>
          <w:sz w:val="24"/>
          <w:szCs w:val="24"/>
          <w:highlight w:val="none"/>
          <w:lang w:val="en-US" w:eastAsia="zh-CN" w:bidi="ar-SA"/>
        </w:rPr>
        <w:t>相关信息</w:t>
      </w:r>
      <w:r>
        <w:rPr>
          <w:rFonts w:hint="default" w:asciiTheme="minorEastAsia" w:hAnsiTheme="minorEastAsia" w:eastAsiaTheme="minorEastAsia" w:cstheme="minorEastAsia"/>
          <w:kern w:val="2"/>
          <w:sz w:val="24"/>
          <w:szCs w:val="24"/>
          <w:highlight w:val="none"/>
          <w:lang w:val="en-US" w:eastAsia="zh-CN" w:bidi="ar-SA"/>
        </w:rPr>
        <w:t>点对点</w:t>
      </w:r>
      <w:r>
        <w:rPr>
          <w:rFonts w:hint="eastAsia" w:asciiTheme="minorEastAsia" w:hAnsiTheme="minorEastAsia" w:eastAsiaTheme="minorEastAsia" w:cstheme="minorEastAsia"/>
          <w:kern w:val="2"/>
          <w:sz w:val="24"/>
          <w:szCs w:val="24"/>
          <w:highlight w:val="none"/>
          <w:lang w:val="en-US" w:eastAsia="zh-CN" w:bidi="ar-SA"/>
        </w:rPr>
        <w:t>定期</w:t>
      </w:r>
      <w:r>
        <w:rPr>
          <w:rFonts w:hint="default" w:asciiTheme="minorEastAsia" w:hAnsiTheme="minorEastAsia" w:eastAsiaTheme="minorEastAsia" w:cstheme="minorEastAsia"/>
          <w:kern w:val="2"/>
          <w:sz w:val="24"/>
          <w:szCs w:val="24"/>
          <w:highlight w:val="none"/>
          <w:lang w:val="en-US" w:eastAsia="zh-CN" w:bidi="ar-SA"/>
        </w:rPr>
        <w:t>向有关领导、职能部门及二级学院反馈，及时发现解决问题</w:t>
      </w:r>
      <w:r>
        <w:rPr>
          <w:rFonts w:hint="eastAsia" w:asciiTheme="minorEastAsia" w:hAnsiTheme="minorEastAsia" w:eastAsiaTheme="minorEastAsia" w:cstheme="minorEastAsia"/>
          <w:kern w:val="2"/>
          <w:sz w:val="24"/>
          <w:szCs w:val="24"/>
          <w:highlight w:val="none"/>
          <w:lang w:val="en-US" w:eastAsia="zh-CN" w:bidi="ar-SA"/>
        </w:rPr>
        <w:t>，畅通信息渠道</w:t>
      </w:r>
      <w:r>
        <w:rPr>
          <w:rFonts w:hint="default" w:asciiTheme="minorEastAsia" w:hAnsiTheme="minorEastAsia" w:eastAsiaTheme="minorEastAsia" w:cstheme="minorEastAsia"/>
          <w:kern w:val="2"/>
          <w:sz w:val="24"/>
          <w:szCs w:val="24"/>
          <w:highlight w:val="none"/>
          <w:lang w:val="en-US" w:eastAsia="zh-CN" w:bidi="ar-SA"/>
        </w:rPr>
        <w:t>。</w:t>
      </w:r>
    </w:p>
    <w:p>
      <w:pPr>
        <w:widowControl/>
        <w:spacing w:line="400" w:lineRule="exact"/>
        <w:ind w:firstLine="480" w:firstLineChars="200"/>
        <w:jc w:val="both"/>
        <w:rPr>
          <w:rFonts w:hint="default"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开展常态化质量监控。开展期初、期中、期末教学检查。期初主要检查巡视任课教师到岗情况、学生到课情况、课堂教学秩序、教学设备使用情况等，确保开学初各项教学活动顺利进行。期中主要检查教学运行管理、教学工作材料完善、实践教学推进、教师发展与培训、教学质量保障、课堂教学质量等情况。学校检查工作组成员根据《期中教学检查评分表》给二级学院打分，形成“期中教学检查持续改进建议”，及时反馈二级学院整改。期末主要对校内考试进行巡查，覆盖所有科目，关注考试组织、考场布置、监考履职及学生纪律。通过现场观察与即时反馈，有效提升了监考责任意识，强化了考试管理的规范性。每学期定期</w:t>
      </w:r>
      <w:r>
        <w:rPr>
          <w:rFonts w:hint="default" w:asciiTheme="minorEastAsia" w:hAnsiTheme="minorEastAsia" w:eastAsiaTheme="minorEastAsia" w:cstheme="minorEastAsia"/>
          <w:kern w:val="2"/>
          <w:sz w:val="24"/>
          <w:szCs w:val="24"/>
          <w:highlight w:val="none"/>
          <w:lang w:val="en-US" w:eastAsia="zh-CN" w:bidi="ar-SA"/>
        </w:rPr>
        <w:t>举办教学运行</w:t>
      </w:r>
      <w:r>
        <w:rPr>
          <w:rFonts w:hint="eastAsia" w:asciiTheme="minorEastAsia" w:hAnsiTheme="minorEastAsia" w:eastAsiaTheme="minorEastAsia" w:cstheme="minorEastAsia"/>
          <w:kern w:val="2"/>
          <w:sz w:val="24"/>
          <w:szCs w:val="24"/>
          <w:highlight w:val="none"/>
          <w:lang w:val="en-US" w:eastAsia="zh-CN" w:bidi="ar-SA"/>
        </w:rPr>
        <w:t>与教学</w:t>
      </w:r>
      <w:r>
        <w:rPr>
          <w:rFonts w:hint="default" w:asciiTheme="minorEastAsia" w:hAnsiTheme="minorEastAsia" w:eastAsiaTheme="minorEastAsia" w:cstheme="minorEastAsia"/>
          <w:kern w:val="2"/>
          <w:sz w:val="24"/>
          <w:szCs w:val="24"/>
          <w:highlight w:val="none"/>
          <w:lang w:val="en-US" w:eastAsia="zh-CN" w:bidi="ar-SA"/>
        </w:rPr>
        <w:t>规范研讨会</w:t>
      </w:r>
      <w:r>
        <w:rPr>
          <w:rFonts w:hint="eastAsia" w:asciiTheme="minorEastAsia" w:hAnsiTheme="minorEastAsia" w:eastAsiaTheme="minorEastAsia" w:cstheme="minorEastAsia"/>
          <w:kern w:val="2"/>
          <w:sz w:val="24"/>
          <w:szCs w:val="24"/>
          <w:highlight w:val="none"/>
          <w:lang w:val="en-US" w:eastAsia="zh-CN" w:bidi="ar-SA"/>
        </w:rPr>
        <w:t>，发布《</w:t>
      </w:r>
      <w:r>
        <w:rPr>
          <w:rFonts w:hint="default" w:asciiTheme="minorEastAsia" w:hAnsiTheme="minorEastAsia" w:eastAsiaTheme="minorEastAsia" w:cstheme="minorEastAsia"/>
          <w:kern w:val="2"/>
          <w:sz w:val="24"/>
          <w:szCs w:val="24"/>
          <w:highlight w:val="none"/>
          <w:lang w:val="en-US" w:eastAsia="zh-CN" w:bidi="ar-SA"/>
        </w:rPr>
        <w:t>教学督导工作简报</w:t>
      </w:r>
      <w:r>
        <w:rPr>
          <w:rFonts w:hint="eastAsia" w:asciiTheme="minorEastAsia" w:hAnsiTheme="minorEastAsia" w:eastAsiaTheme="minorEastAsia" w:cstheme="minorEastAsia"/>
          <w:kern w:val="2"/>
          <w:sz w:val="24"/>
          <w:szCs w:val="24"/>
          <w:highlight w:val="none"/>
          <w:lang w:val="en-US" w:eastAsia="zh-CN" w:bidi="ar-SA"/>
        </w:rPr>
        <w:t>》，集中反馈学校教学督导在各类教学检查与监督过程中发现的共性问题，分析问题产生原因，探讨规范教学运行与管理的路径，提升相关职能部门和二级学院的教学规范意识和水平。</w:t>
      </w:r>
    </w:p>
    <w:p>
      <w:pPr>
        <w:keepNext w:val="0"/>
        <w:keepLines w:val="0"/>
        <w:pageBreakBefore w:val="0"/>
        <w:widowControl w:val="0"/>
        <w:numPr>
          <w:ilvl w:val="0"/>
          <w:numId w:val="3"/>
        </w:numPr>
        <w:kinsoku/>
        <w:wordWrap/>
        <w:overflowPunct/>
        <w:topLinePunct w:val="0"/>
        <w:autoSpaceDE/>
        <w:autoSpaceDN/>
        <w:bidi w:val="0"/>
        <w:adjustRightInd/>
        <w:snapToGrid/>
        <w:spacing w:line="240" w:lineRule="auto"/>
        <w:textAlignment w:val="auto"/>
        <w:outlineLvl w:val="1"/>
        <w:rPr>
          <w:rFonts w:hint="eastAsia" w:ascii="黑体" w:hAnsi="黑体" w:eastAsia="黑体" w:cs="黑体"/>
          <w:b w:val="0"/>
          <w:bCs w:val="0"/>
          <w:color w:val="auto"/>
          <w:kern w:val="2"/>
          <w:sz w:val="28"/>
          <w:szCs w:val="28"/>
          <w:highlight w:val="none"/>
          <w:lang w:val="en-US" w:eastAsia="zh-CN" w:bidi="ar-SA"/>
        </w:rPr>
      </w:pPr>
      <w:bookmarkStart w:id="59" w:name="_Toc25916"/>
      <w:r>
        <w:rPr>
          <w:rFonts w:hint="eastAsia" w:ascii="黑体" w:hAnsi="黑体" w:eastAsia="黑体" w:cs="黑体"/>
          <w:b w:val="0"/>
          <w:bCs w:val="0"/>
          <w:color w:val="auto"/>
          <w:kern w:val="2"/>
          <w:sz w:val="28"/>
          <w:szCs w:val="28"/>
          <w:highlight w:val="none"/>
          <w:lang w:val="en-US" w:eastAsia="zh-CN" w:bidi="ar-SA"/>
        </w:rPr>
        <w:t>合格评估开展情况</w:t>
      </w:r>
      <w:bookmarkEnd w:id="59"/>
    </w:p>
    <w:p>
      <w:pPr>
        <w:widowControl/>
        <w:spacing w:line="400" w:lineRule="exact"/>
        <w:ind w:firstLine="480" w:firstLineChars="200"/>
        <w:jc w:val="both"/>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提前谋划布局合格评估。学校转设之初，即对标合格评估要求开展建设工作。2022年10月21日，学校召开本科教学工作合格评估筹备工作会议，明确未来几年以迎接本科教学工作合格评估为抓手，强化教育教学运行规范，深入推进高素质应用型人才培养。2023年11月出台《湖州学院高水平应用型大学建设三年行动方案》，配套“学科专业建设子方案”等五个子方案，以高水平迎接教育部本科教学工作合格评估为主要抓手，坚持高水平应用型大学发展导向，深化教育教学改革，奋力开拓工作新局，谱写好新时代湖州学院高质量发展新篇章，在推进浙江省“两个先行”建设、湖州市“六个新湖州”建设伟大实践中全面展示湖州学院的担当作为。</w:t>
      </w:r>
    </w:p>
    <w:p>
      <w:pPr>
        <w:widowControl/>
        <w:spacing w:line="400" w:lineRule="exact"/>
        <w:ind w:firstLine="480" w:firstLineChars="200"/>
        <w:jc w:val="both"/>
        <w:rPr>
          <w:rFonts w:hint="default"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开展合格评估第一轮专项检查。2024年4月2日学校召开“高水平应用型大学建设推进会暨迎接本科教学合格评估工作指南发布会”，发布《湖州学院本科教学合格评估工作指南1.0版》。2024年6月13日学校召开“高水平应用型大学建设推进会暨迎评第一轮专项检查布置会”，正式启动合格评估第一轮专项检查。2024年7月9日至10日学校开展本科教学工作合格评估第一轮专项检查。7月9日上午，学校召开本科教学工作合格评估第一轮专项检查集中汇报会，8个职能部门和7个二级学院负责人进行汇报，相关校领导进行现场点评。9日下午至10日，7个合格评估专项检查工作组分别赴7个职能部门和7个二级学院开展实地检查。通过第一轮专项检查，增强了全校上下人人参与合格评估的主体意识，规范了各单位迎评材料的建设规范，迎评工作取得阶段性实效。同时针对检查中发现的问题，及时总结反馈，持续改进。</w:t>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0"/>
        <w:rPr>
          <w:rFonts w:hint="eastAsia" w:asciiTheme="minorEastAsia" w:hAnsiTheme="minorEastAsia" w:eastAsiaTheme="minorEastAsia" w:cstheme="minorEastAsia"/>
          <w:sz w:val="30"/>
          <w:szCs w:val="30"/>
          <w:lang w:eastAsia="zh-CN"/>
        </w:rPr>
      </w:pPr>
      <w:bookmarkStart w:id="60" w:name="_Toc4501"/>
      <w:r>
        <w:rPr>
          <w:rFonts w:hint="eastAsia" w:ascii="黑体" w:hAnsi="黑体" w:eastAsia="黑体" w:cs="黑体"/>
          <w:b w:val="0"/>
          <w:bCs w:val="0"/>
          <w:color w:val="auto"/>
          <w:kern w:val="2"/>
          <w:sz w:val="30"/>
          <w:szCs w:val="30"/>
          <w:lang w:val="en-US" w:eastAsia="zh-CN" w:bidi="ar-SA"/>
        </w:rPr>
        <w:t>六、学生学习效果</w:t>
      </w:r>
      <w:bookmarkEnd w:id="60"/>
      <w:r>
        <w:rPr>
          <w:rFonts w:hint="eastAsia" w:asciiTheme="minorEastAsia" w:hAnsiTheme="minorEastAsia" w:eastAsiaTheme="minorEastAsia" w:cstheme="minorEastAsia"/>
          <w:sz w:val="30"/>
          <w:szCs w:val="30"/>
        </w:rPr>
        <w:tab/>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1"/>
        <w:rPr>
          <w:rFonts w:hint="eastAsia" w:ascii="黑体" w:hAnsi="黑体" w:eastAsia="黑体" w:cs="黑体"/>
          <w:b w:val="0"/>
          <w:bCs w:val="0"/>
          <w:color w:val="auto"/>
          <w:kern w:val="2"/>
          <w:sz w:val="28"/>
          <w:szCs w:val="28"/>
          <w:lang w:val="en-US" w:eastAsia="zh-CN" w:bidi="ar-SA"/>
        </w:rPr>
      </w:pPr>
      <w:bookmarkStart w:id="61" w:name="_Toc29982"/>
      <w:r>
        <w:rPr>
          <w:rFonts w:hint="eastAsia" w:ascii="黑体" w:hAnsi="黑体" w:eastAsia="黑体" w:cs="黑体"/>
          <w:b w:val="0"/>
          <w:bCs w:val="0"/>
          <w:color w:val="auto"/>
          <w:kern w:val="2"/>
          <w:sz w:val="28"/>
          <w:szCs w:val="28"/>
          <w:lang w:val="en-US" w:eastAsia="zh-CN" w:bidi="ar-SA"/>
        </w:rPr>
        <w:t>（一）在校生培养情况</w:t>
      </w:r>
      <w:bookmarkEnd w:id="61"/>
      <w:r>
        <w:rPr>
          <w:rFonts w:hint="eastAsia" w:ascii="黑体" w:hAnsi="黑体" w:eastAsia="黑体" w:cs="黑体"/>
          <w:b w:val="0"/>
          <w:bCs w:val="0"/>
          <w:color w:val="auto"/>
          <w:kern w:val="2"/>
          <w:sz w:val="28"/>
          <w:szCs w:val="28"/>
          <w:lang w:val="en-US" w:eastAsia="zh-CN" w:bidi="ar-SA"/>
        </w:rPr>
        <w:tab/>
      </w:r>
    </w:p>
    <w:p>
      <w:pPr>
        <w:widowControl/>
        <w:jc w:val="left"/>
        <w:outlineLvl w:val="2"/>
        <w:rPr>
          <w:rFonts w:hint="default" w:ascii="Times New Roman" w:hAnsi="Times New Roman" w:eastAsia="黑体" w:cs="Times New Roman"/>
          <w:color w:val="auto"/>
          <w:kern w:val="0"/>
          <w:sz w:val="24"/>
          <w:highlight w:val="none"/>
          <w:lang w:bidi="ar"/>
        </w:rPr>
      </w:pPr>
      <w:r>
        <w:rPr>
          <w:rFonts w:hint="default" w:ascii="Times New Roman" w:hAnsi="Times New Roman" w:eastAsia="黑体" w:cs="Times New Roman"/>
          <w:color w:val="auto"/>
          <w:kern w:val="0"/>
          <w:sz w:val="24"/>
          <w:highlight w:val="none"/>
          <w:lang w:bidi="ar"/>
        </w:rPr>
        <w:t>1.学生学习满意度</w:t>
      </w:r>
    </w:p>
    <w:p>
      <w:pPr>
        <w:widowControl/>
        <w:spacing w:line="400" w:lineRule="exact"/>
        <w:ind w:firstLine="480" w:firstLineChars="200"/>
        <w:jc w:val="both"/>
        <w:rPr>
          <w:rFonts w:hint="default" w:asciiTheme="minorEastAsia" w:hAnsiTheme="minorEastAsia" w:eastAsiaTheme="minorEastAsia" w:cstheme="minorEastAsia"/>
          <w:kern w:val="2"/>
          <w:sz w:val="24"/>
          <w:szCs w:val="24"/>
          <w:highlight w:val="none"/>
          <w:lang w:val="en-US" w:eastAsia="zh-CN" w:bidi="ar-SA"/>
        </w:rPr>
      </w:pPr>
      <w:r>
        <w:rPr>
          <w:rFonts w:hint="default" w:asciiTheme="minorEastAsia" w:hAnsiTheme="minorEastAsia" w:eastAsiaTheme="minorEastAsia" w:cstheme="minorEastAsia"/>
          <w:kern w:val="2"/>
          <w:sz w:val="24"/>
          <w:szCs w:val="24"/>
          <w:highlight w:val="none"/>
          <w:lang w:val="en-US" w:eastAsia="zh-CN" w:bidi="ar-SA"/>
        </w:rPr>
        <w:t>全校学生按课程、班次对所有任课教师进行评价，两学期学生对教师课堂教学评价的优良率均达</w:t>
      </w:r>
      <w:r>
        <w:rPr>
          <w:rFonts w:hint="eastAsia" w:asciiTheme="minorEastAsia" w:hAnsiTheme="minorEastAsia" w:eastAsiaTheme="minorEastAsia" w:cstheme="minorEastAsia"/>
          <w:kern w:val="2"/>
          <w:sz w:val="24"/>
          <w:szCs w:val="24"/>
          <w:highlight w:val="none"/>
          <w:lang w:val="en-US" w:eastAsia="zh-CN" w:bidi="ar-SA"/>
        </w:rPr>
        <w:t>95%</w:t>
      </w:r>
      <w:r>
        <w:rPr>
          <w:rFonts w:hint="default" w:asciiTheme="minorEastAsia" w:hAnsiTheme="minorEastAsia" w:eastAsiaTheme="minorEastAsia" w:cstheme="minorEastAsia"/>
          <w:kern w:val="2"/>
          <w:sz w:val="24"/>
          <w:szCs w:val="24"/>
          <w:highlight w:val="none"/>
          <w:lang w:val="en-US" w:eastAsia="zh-CN" w:bidi="ar-SA"/>
        </w:rPr>
        <w:t>以上。</w:t>
      </w:r>
    </w:p>
    <w:p>
      <w:pPr>
        <w:widowControl/>
        <w:jc w:val="left"/>
        <w:outlineLvl w:val="9"/>
        <w:rPr>
          <w:rFonts w:hint="default" w:ascii="Times New Roman" w:hAnsi="Times New Roman" w:eastAsia="黑体" w:cs="Times New Roman"/>
          <w:color w:val="auto"/>
          <w:kern w:val="0"/>
          <w:sz w:val="24"/>
          <w:lang w:bidi="ar"/>
        </w:rPr>
      </w:pPr>
      <w:r>
        <w:rPr>
          <w:rFonts w:hint="default" w:ascii="Times New Roman" w:hAnsi="Times New Roman" w:eastAsia="黑体" w:cs="Times New Roman"/>
          <w:color w:val="auto"/>
          <w:kern w:val="0"/>
          <w:sz w:val="24"/>
          <w:lang w:bidi="ar"/>
        </w:rPr>
        <w:t>2.学生体质测试情况</w:t>
      </w:r>
    </w:p>
    <w:p>
      <w:pPr>
        <w:widowControl/>
        <w:spacing w:line="400" w:lineRule="exact"/>
        <w:ind w:firstLine="480" w:firstLineChars="200"/>
        <w:jc w:val="both"/>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2023-2024学年参与体质测试人数6985人（不包含免测人数和缺项人数），测试合格人数6036人，学生体质测试合格率为86.41%。我校学生在2024年全省高校学生体质健康状况抽测中的合格率为88.00%；优良率为11.50%。</w:t>
      </w:r>
    </w:p>
    <w:p>
      <w:pPr>
        <w:widowControl/>
        <w:jc w:val="left"/>
        <w:outlineLvl w:val="9"/>
        <w:rPr>
          <w:rFonts w:hint="default" w:ascii="Times New Roman" w:hAnsi="Times New Roman" w:eastAsia="黑体" w:cs="Times New Roman"/>
          <w:color w:val="auto"/>
          <w:kern w:val="0"/>
          <w:sz w:val="24"/>
          <w:lang w:bidi="ar"/>
        </w:rPr>
      </w:pPr>
      <w:r>
        <w:rPr>
          <w:rFonts w:hint="eastAsia" w:ascii="Times New Roman" w:hAnsi="Times New Roman" w:eastAsia="黑体" w:cs="Times New Roman"/>
          <w:color w:val="auto"/>
          <w:kern w:val="0"/>
          <w:sz w:val="24"/>
          <w:lang w:val="en-US" w:eastAsia="zh-CN" w:bidi="ar"/>
        </w:rPr>
        <w:t>3</w:t>
      </w:r>
      <w:r>
        <w:rPr>
          <w:rFonts w:hint="default" w:ascii="Times New Roman" w:hAnsi="Times New Roman" w:eastAsia="黑体" w:cs="Times New Roman"/>
          <w:color w:val="auto"/>
          <w:kern w:val="0"/>
          <w:sz w:val="24"/>
          <w:lang w:bidi="ar"/>
        </w:rPr>
        <w:t>.学生专业分流转专业情况</w:t>
      </w:r>
    </w:p>
    <w:p>
      <w:pPr>
        <w:widowControl/>
        <w:spacing w:line="400" w:lineRule="exact"/>
        <w:ind w:firstLine="480" w:firstLineChars="200"/>
        <w:jc w:val="both"/>
        <w:rPr>
          <w:rFonts w:hint="default"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认真执行</w:t>
      </w:r>
      <w:r>
        <w:rPr>
          <w:rFonts w:hint="default" w:asciiTheme="minorEastAsia" w:hAnsiTheme="minorEastAsia" w:eastAsiaTheme="minorEastAsia" w:cstheme="minorEastAsia"/>
          <w:kern w:val="2"/>
          <w:sz w:val="24"/>
          <w:szCs w:val="24"/>
          <w:highlight w:val="none"/>
          <w:lang w:val="en-US" w:eastAsia="zh-CN" w:bidi="ar-SA"/>
        </w:rPr>
        <w:t>《湖州学院本科生专业分流实施办法》《湖州学院本科生转专业实施办法》</w:t>
      </w:r>
      <w:r>
        <w:rPr>
          <w:rFonts w:hint="eastAsia" w:asciiTheme="minorEastAsia" w:hAnsiTheme="minorEastAsia" w:eastAsiaTheme="minorEastAsia" w:cstheme="minorEastAsia"/>
          <w:kern w:val="2"/>
          <w:sz w:val="24"/>
          <w:szCs w:val="24"/>
          <w:highlight w:val="none"/>
          <w:lang w:val="en-US" w:eastAsia="zh-CN" w:bidi="ar-SA"/>
        </w:rPr>
        <w:t>，开展</w:t>
      </w:r>
      <w:r>
        <w:rPr>
          <w:rFonts w:hint="default" w:asciiTheme="minorEastAsia" w:hAnsiTheme="minorEastAsia" w:eastAsiaTheme="minorEastAsia" w:cstheme="minorEastAsia"/>
          <w:kern w:val="2"/>
          <w:sz w:val="24"/>
          <w:szCs w:val="24"/>
          <w:highlight w:val="none"/>
          <w:lang w:val="en-US" w:eastAsia="zh-CN" w:bidi="ar-SA"/>
        </w:rPr>
        <w:t>专业分流</w:t>
      </w:r>
      <w:r>
        <w:rPr>
          <w:rFonts w:hint="eastAsia" w:asciiTheme="minorEastAsia" w:hAnsiTheme="minorEastAsia" w:eastAsiaTheme="minorEastAsia" w:cstheme="minorEastAsia"/>
          <w:kern w:val="2"/>
          <w:sz w:val="24"/>
          <w:szCs w:val="24"/>
          <w:highlight w:val="none"/>
          <w:lang w:val="en-US" w:eastAsia="zh-CN" w:bidi="ar-SA"/>
        </w:rPr>
        <w:t>和</w:t>
      </w:r>
      <w:r>
        <w:rPr>
          <w:rFonts w:hint="default" w:asciiTheme="minorEastAsia" w:hAnsiTheme="minorEastAsia" w:eastAsiaTheme="minorEastAsia" w:cstheme="minorEastAsia"/>
          <w:kern w:val="2"/>
          <w:sz w:val="24"/>
          <w:szCs w:val="24"/>
          <w:highlight w:val="none"/>
          <w:lang w:val="en-US" w:eastAsia="zh-CN" w:bidi="ar-SA"/>
        </w:rPr>
        <w:t>转专业</w:t>
      </w:r>
      <w:r>
        <w:rPr>
          <w:rFonts w:hint="eastAsia" w:asciiTheme="minorEastAsia" w:hAnsiTheme="minorEastAsia" w:eastAsiaTheme="minorEastAsia" w:cstheme="minorEastAsia"/>
          <w:kern w:val="2"/>
          <w:sz w:val="24"/>
          <w:szCs w:val="24"/>
          <w:highlight w:val="none"/>
          <w:lang w:val="en-US" w:eastAsia="zh-CN" w:bidi="ar-SA"/>
        </w:rPr>
        <w:t>工作，</w:t>
      </w:r>
      <w:r>
        <w:rPr>
          <w:rFonts w:hint="default" w:asciiTheme="minorEastAsia" w:hAnsiTheme="minorEastAsia" w:eastAsiaTheme="minorEastAsia" w:cstheme="minorEastAsia"/>
          <w:kern w:val="2"/>
          <w:sz w:val="24"/>
          <w:szCs w:val="24"/>
          <w:highlight w:val="none"/>
          <w:lang w:val="en-US" w:eastAsia="zh-CN" w:bidi="ar-SA"/>
        </w:rPr>
        <w:t>扩大学生自主选择权</w:t>
      </w:r>
      <w:r>
        <w:rPr>
          <w:rFonts w:hint="eastAsia" w:asciiTheme="minorEastAsia" w:hAnsiTheme="minorEastAsia" w:eastAsiaTheme="minorEastAsia" w:cstheme="minorEastAsia"/>
          <w:kern w:val="2"/>
          <w:sz w:val="24"/>
          <w:szCs w:val="24"/>
          <w:highlight w:val="none"/>
          <w:lang w:val="en-US" w:eastAsia="zh-CN" w:bidi="ar-SA"/>
        </w:rPr>
        <w:t>，为学生</w:t>
      </w:r>
      <w:r>
        <w:rPr>
          <w:rFonts w:hint="default" w:asciiTheme="minorEastAsia" w:hAnsiTheme="minorEastAsia" w:eastAsiaTheme="minorEastAsia" w:cstheme="minorEastAsia"/>
          <w:kern w:val="2"/>
          <w:sz w:val="24"/>
          <w:szCs w:val="24"/>
          <w:highlight w:val="none"/>
          <w:lang w:val="en-US" w:eastAsia="zh-CN" w:bidi="ar-SA"/>
        </w:rPr>
        <w:t>提供多元化成才空间。202</w:t>
      </w:r>
      <w:r>
        <w:rPr>
          <w:rFonts w:hint="eastAsia" w:asciiTheme="minorEastAsia" w:hAnsiTheme="minorEastAsia" w:eastAsiaTheme="minorEastAsia" w:cstheme="minorEastAsia"/>
          <w:kern w:val="2"/>
          <w:sz w:val="24"/>
          <w:szCs w:val="24"/>
          <w:highlight w:val="none"/>
          <w:lang w:val="en-US" w:eastAsia="zh-CN" w:bidi="ar-SA"/>
        </w:rPr>
        <w:t>4</w:t>
      </w:r>
      <w:r>
        <w:rPr>
          <w:rFonts w:hint="default" w:asciiTheme="minorEastAsia" w:hAnsiTheme="minorEastAsia" w:eastAsiaTheme="minorEastAsia" w:cstheme="minorEastAsia"/>
          <w:kern w:val="2"/>
          <w:sz w:val="24"/>
          <w:szCs w:val="24"/>
          <w:highlight w:val="none"/>
          <w:lang w:val="en-US" w:eastAsia="zh-CN" w:bidi="ar-SA"/>
        </w:rPr>
        <w:t>年，学校对</w:t>
      </w:r>
      <w:r>
        <w:rPr>
          <w:rFonts w:hint="eastAsia" w:asciiTheme="minorEastAsia" w:hAnsiTheme="minorEastAsia" w:eastAsiaTheme="minorEastAsia" w:cstheme="minorEastAsia"/>
          <w:kern w:val="2"/>
          <w:sz w:val="24"/>
          <w:szCs w:val="24"/>
          <w:highlight w:val="none"/>
          <w:lang w:val="en-US" w:eastAsia="zh-CN" w:bidi="ar-SA"/>
        </w:rPr>
        <w:t>197</w:t>
      </w:r>
      <w:r>
        <w:rPr>
          <w:rFonts w:hint="default" w:asciiTheme="minorEastAsia" w:hAnsiTheme="minorEastAsia" w:eastAsiaTheme="minorEastAsia" w:cstheme="minorEastAsia"/>
          <w:kern w:val="2"/>
          <w:sz w:val="24"/>
          <w:szCs w:val="24"/>
          <w:highlight w:val="none"/>
          <w:lang w:val="en-US" w:eastAsia="zh-CN" w:bidi="ar-SA"/>
        </w:rPr>
        <w:t>名大类招生的学生进行专业分流，分流至</w:t>
      </w:r>
      <w:r>
        <w:rPr>
          <w:rFonts w:hint="eastAsia" w:asciiTheme="minorEastAsia" w:hAnsiTheme="minorEastAsia" w:eastAsiaTheme="minorEastAsia" w:cstheme="minorEastAsia"/>
          <w:kern w:val="2"/>
          <w:sz w:val="24"/>
          <w:szCs w:val="24"/>
          <w:highlight w:val="none"/>
          <w:lang w:val="en-US" w:eastAsia="zh-CN" w:bidi="ar-SA"/>
        </w:rPr>
        <w:t>大类下的</w:t>
      </w:r>
      <w:r>
        <w:rPr>
          <w:rFonts w:hint="default" w:asciiTheme="minorEastAsia" w:hAnsiTheme="minorEastAsia" w:eastAsiaTheme="minorEastAsia" w:cstheme="minorEastAsia"/>
          <w:kern w:val="2"/>
          <w:sz w:val="24"/>
          <w:szCs w:val="24"/>
          <w:highlight w:val="none"/>
          <w:lang w:val="en-US" w:eastAsia="zh-CN" w:bidi="ar-SA"/>
        </w:rPr>
        <w:t>3个专业学习；</w:t>
      </w:r>
      <w:r>
        <w:rPr>
          <w:rFonts w:hint="eastAsia" w:asciiTheme="minorEastAsia" w:hAnsiTheme="minorEastAsia" w:eastAsiaTheme="minorEastAsia" w:cstheme="minorEastAsia"/>
          <w:kern w:val="2"/>
          <w:sz w:val="24"/>
          <w:szCs w:val="24"/>
          <w:highlight w:val="none"/>
          <w:lang w:val="en-US" w:eastAsia="zh-CN" w:bidi="ar-SA"/>
        </w:rPr>
        <w:t>61人</w:t>
      </w:r>
      <w:r>
        <w:rPr>
          <w:rFonts w:hint="default" w:asciiTheme="minorEastAsia" w:hAnsiTheme="minorEastAsia" w:eastAsiaTheme="minorEastAsia" w:cstheme="minorEastAsia"/>
          <w:kern w:val="2"/>
          <w:sz w:val="24"/>
          <w:szCs w:val="24"/>
          <w:highlight w:val="none"/>
          <w:lang w:val="en-US" w:eastAsia="zh-CN" w:bidi="ar-SA"/>
        </w:rPr>
        <w:t>成功转专业，转专业人数占在校生比例</w:t>
      </w:r>
      <w:r>
        <w:rPr>
          <w:rFonts w:hint="eastAsia" w:asciiTheme="minorEastAsia" w:hAnsiTheme="minorEastAsia" w:eastAsiaTheme="minorEastAsia" w:cstheme="minorEastAsia"/>
          <w:kern w:val="2"/>
          <w:sz w:val="24"/>
          <w:szCs w:val="24"/>
          <w:highlight w:val="none"/>
          <w:lang w:val="en-US" w:eastAsia="zh-CN" w:bidi="ar-SA"/>
        </w:rPr>
        <w:t>0.73</w:t>
      </w:r>
      <w:r>
        <w:rPr>
          <w:rFonts w:hint="default" w:asciiTheme="minorEastAsia" w:hAnsiTheme="minorEastAsia" w:eastAsiaTheme="minorEastAsia" w:cstheme="minorEastAsia"/>
          <w:kern w:val="2"/>
          <w:sz w:val="24"/>
          <w:szCs w:val="24"/>
          <w:highlight w:val="none"/>
          <w:lang w:val="en-US" w:eastAsia="zh-CN" w:bidi="ar-SA"/>
        </w:rPr>
        <w:t>%；转出学生数最多的专业为</w:t>
      </w:r>
      <w:r>
        <w:rPr>
          <w:rFonts w:hint="eastAsia" w:asciiTheme="minorEastAsia" w:hAnsiTheme="minorEastAsia" w:eastAsiaTheme="minorEastAsia" w:cstheme="minorEastAsia"/>
          <w:kern w:val="2"/>
          <w:sz w:val="24"/>
          <w:szCs w:val="24"/>
          <w:highlight w:val="none"/>
          <w:lang w:val="en-US" w:eastAsia="zh-CN" w:bidi="ar-SA"/>
        </w:rPr>
        <w:t>英语</w:t>
      </w:r>
      <w:r>
        <w:rPr>
          <w:rFonts w:hint="default" w:asciiTheme="minorEastAsia" w:hAnsiTheme="minorEastAsia" w:eastAsiaTheme="minorEastAsia" w:cstheme="minorEastAsia"/>
          <w:kern w:val="2"/>
          <w:sz w:val="24"/>
          <w:szCs w:val="24"/>
          <w:highlight w:val="none"/>
          <w:lang w:val="en-US" w:eastAsia="zh-CN" w:bidi="ar-SA"/>
        </w:rPr>
        <w:t>，转入学生数最多的专业为汉语言文学。</w:t>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1"/>
        <w:rPr>
          <w:rFonts w:hint="eastAsia" w:ascii="黑体" w:hAnsi="黑体" w:eastAsia="黑体" w:cs="黑体"/>
          <w:b w:val="0"/>
          <w:bCs w:val="0"/>
          <w:color w:val="auto"/>
          <w:kern w:val="2"/>
          <w:sz w:val="28"/>
          <w:szCs w:val="28"/>
          <w:lang w:val="en-US" w:eastAsia="zh-CN" w:bidi="ar-SA"/>
        </w:rPr>
      </w:pPr>
      <w:bookmarkStart w:id="62" w:name="_Toc53"/>
      <w:r>
        <w:rPr>
          <w:rFonts w:hint="eastAsia" w:ascii="黑体" w:hAnsi="黑体" w:eastAsia="黑体" w:cs="黑体"/>
          <w:b w:val="0"/>
          <w:bCs w:val="0"/>
          <w:color w:val="auto"/>
          <w:kern w:val="2"/>
          <w:sz w:val="28"/>
          <w:szCs w:val="28"/>
          <w:lang w:val="en-US" w:eastAsia="zh-CN" w:bidi="ar-SA"/>
        </w:rPr>
        <w:t>（二）毕业生基本情况</w:t>
      </w:r>
      <w:bookmarkEnd w:id="62"/>
      <w:r>
        <w:rPr>
          <w:rFonts w:hint="eastAsia" w:ascii="黑体" w:hAnsi="黑体" w:eastAsia="黑体" w:cs="黑体"/>
          <w:b w:val="0"/>
          <w:bCs w:val="0"/>
          <w:color w:val="auto"/>
          <w:kern w:val="2"/>
          <w:sz w:val="28"/>
          <w:szCs w:val="28"/>
          <w:lang w:val="en-US" w:eastAsia="zh-CN" w:bidi="ar-SA"/>
        </w:rPr>
        <w:tab/>
      </w:r>
    </w:p>
    <w:p>
      <w:pPr>
        <w:widowControl/>
        <w:jc w:val="left"/>
        <w:outlineLvl w:val="2"/>
        <w:rPr>
          <w:rFonts w:hint="default" w:ascii="Times New Roman" w:hAnsi="Times New Roman" w:eastAsia="黑体" w:cs="Times New Roman"/>
          <w:color w:val="auto"/>
          <w:kern w:val="0"/>
          <w:sz w:val="24"/>
          <w:lang w:bidi="ar"/>
        </w:rPr>
      </w:pPr>
      <w:r>
        <w:rPr>
          <w:rFonts w:hint="default" w:ascii="Times New Roman" w:hAnsi="Times New Roman" w:eastAsia="黑体" w:cs="Times New Roman"/>
          <w:color w:val="auto"/>
          <w:kern w:val="0"/>
          <w:sz w:val="24"/>
          <w:lang w:bidi="ar"/>
        </w:rPr>
        <w:t>1.毕业生毕业及学位授予情况</w:t>
      </w:r>
    </w:p>
    <w:p>
      <w:pPr>
        <w:adjustRightInd w:val="0"/>
        <w:snapToGrid w:val="0"/>
        <w:spacing w:line="400" w:lineRule="exact"/>
        <w:ind w:firstLine="480" w:firstLineChars="200"/>
        <w:rPr>
          <w:rFonts w:hint="default" w:asciiTheme="minorEastAsia" w:hAnsiTheme="minorEastAsia" w:eastAsiaTheme="minorEastAsia" w:cstheme="minorEastAsia"/>
          <w:kern w:val="2"/>
          <w:sz w:val="24"/>
          <w:szCs w:val="24"/>
          <w:highlight w:val="none"/>
          <w:lang w:val="en-US" w:eastAsia="zh-CN" w:bidi="ar-SA"/>
        </w:rPr>
      </w:pPr>
      <w:r>
        <w:rPr>
          <w:rFonts w:hint="default" w:asciiTheme="minorEastAsia" w:hAnsiTheme="minorEastAsia" w:eastAsiaTheme="minorEastAsia" w:cstheme="minorEastAsia"/>
          <w:kern w:val="2"/>
          <w:sz w:val="24"/>
          <w:szCs w:val="24"/>
          <w:highlight w:val="none"/>
          <w:lang w:val="en-US" w:eastAsia="zh-CN" w:bidi="ar-SA"/>
        </w:rPr>
        <w:t>202</w:t>
      </w:r>
      <w:r>
        <w:rPr>
          <w:rFonts w:hint="eastAsia" w:asciiTheme="minorEastAsia" w:hAnsiTheme="minorEastAsia" w:eastAsiaTheme="minorEastAsia" w:cstheme="minorEastAsia"/>
          <w:kern w:val="2"/>
          <w:sz w:val="24"/>
          <w:szCs w:val="24"/>
          <w:highlight w:val="none"/>
          <w:lang w:val="en-US" w:eastAsia="zh-CN" w:bidi="ar-SA"/>
        </w:rPr>
        <w:t>4</w:t>
      </w:r>
      <w:r>
        <w:rPr>
          <w:rFonts w:hint="default" w:asciiTheme="minorEastAsia" w:hAnsiTheme="minorEastAsia" w:eastAsiaTheme="minorEastAsia" w:cstheme="minorEastAsia"/>
          <w:kern w:val="2"/>
          <w:sz w:val="24"/>
          <w:szCs w:val="24"/>
          <w:highlight w:val="none"/>
          <w:lang w:val="en-US" w:eastAsia="zh-CN" w:bidi="ar-SA"/>
        </w:rPr>
        <w:t>届本科生共</w:t>
      </w:r>
      <w:r>
        <w:rPr>
          <w:rFonts w:hint="eastAsia" w:asciiTheme="minorEastAsia" w:hAnsiTheme="minorEastAsia" w:eastAsiaTheme="minorEastAsia" w:cstheme="minorEastAsia"/>
          <w:kern w:val="2"/>
          <w:sz w:val="24"/>
          <w:szCs w:val="24"/>
          <w:highlight w:val="none"/>
          <w:lang w:val="en-US" w:eastAsia="zh-CN" w:bidi="ar-SA"/>
        </w:rPr>
        <w:t>2340</w:t>
      </w:r>
      <w:r>
        <w:rPr>
          <w:rFonts w:hint="default" w:asciiTheme="minorEastAsia" w:hAnsiTheme="minorEastAsia" w:eastAsiaTheme="minorEastAsia" w:cstheme="minorEastAsia"/>
          <w:kern w:val="2"/>
          <w:sz w:val="24"/>
          <w:szCs w:val="24"/>
          <w:highlight w:val="none"/>
          <w:lang w:val="en-US" w:eastAsia="zh-CN" w:bidi="ar-SA"/>
        </w:rPr>
        <w:t>人，其中</w:t>
      </w:r>
      <w:r>
        <w:rPr>
          <w:rFonts w:hint="eastAsia" w:asciiTheme="minorEastAsia" w:hAnsiTheme="minorEastAsia" w:eastAsiaTheme="minorEastAsia" w:cstheme="minorEastAsia"/>
          <w:kern w:val="2"/>
          <w:sz w:val="24"/>
          <w:szCs w:val="24"/>
          <w:highlight w:val="none"/>
          <w:lang w:val="en-US" w:eastAsia="zh-CN" w:bidi="ar-SA"/>
        </w:rPr>
        <w:t>2300</w:t>
      </w:r>
      <w:r>
        <w:rPr>
          <w:rFonts w:hint="default" w:asciiTheme="minorEastAsia" w:hAnsiTheme="minorEastAsia" w:eastAsiaTheme="minorEastAsia" w:cstheme="minorEastAsia"/>
          <w:kern w:val="2"/>
          <w:sz w:val="24"/>
          <w:szCs w:val="24"/>
          <w:highlight w:val="none"/>
          <w:lang w:val="en-US" w:eastAsia="zh-CN" w:bidi="ar-SA"/>
        </w:rPr>
        <w:t>人顺利毕业，毕业率9</w:t>
      </w:r>
      <w:r>
        <w:rPr>
          <w:rFonts w:hint="eastAsia" w:asciiTheme="minorEastAsia" w:hAnsiTheme="minorEastAsia" w:eastAsiaTheme="minorEastAsia" w:cstheme="minorEastAsia"/>
          <w:kern w:val="2"/>
          <w:sz w:val="24"/>
          <w:szCs w:val="24"/>
          <w:highlight w:val="none"/>
          <w:lang w:val="en-US" w:eastAsia="zh-CN" w:bidi="ar-SA"/>
        </w:rPr>
        <w:t>8</w:t>
      </w:r>
      <w:r>
        <w:rPr>
          <w:rFonts w:hint="default" w:asciiTheme="minorEastAsia" w:hAnsiTheme="minorEastAsia" w:eastAsiaTheme="minorEastAsia" w:cstheme="minorEastAsia"/>
          <w:kern w:val="2"/>
          <w:sz w:val="24"/>
          <w:szCs w:val="24"/>
          <w:highlight w:val="none"/>
          <w:lang w:val="en-US" w:eastAsia="zh-CN" w:bidi="ar-SA"/>
        </w:rPr>
        <w:t>.</w:t>
      </w:r>
      <w:r>
        <w:rPr>
          <w:rFonts w:hint="eastAsia" w:asciiTheme="minorEastAsia" w:hAnsiTheme="minorEastAsia" w:eastAsiaTheme="minorEastAsia" w:cstheme="minorEastAsia"/>
          <w:kern w:val="2"/>
          <w:sz w:val="24"/>
          <w:szCs w:val="24"/>
          <w:highlight w:val="none"/>
          <w:lang w:val="en-US" w:eastAsia="zh-CN" w:bidi="ar-SA"/>
        </w:rPr>
        <w:t>2</w:t>
      </w:r>
      <w:r>
        <w:rPr>
          <w:rFonts w:hint="default" w:asciiTheme="minorEastAsia" w:hAnsiTheme="minorEastAsia" w:eastAsiaTheme="minorEastAsia" w:cstheme="minorEastAsia"/>
          <w:kern w:val="2"/>
          <w:sz w:val="24"/>
          <w:szCs w:val="24"/>
          <w:highlight w:val="none"/>
          <w:lang w:val="en-US" w:eastAsia="zh-CN" w:bidi="ar-SA"/>
        </w:rPr>
        <w:t>9%；</w:t>
      </w:r>
      <w:r>
        <w:rPr>
          <w:rFonts w:hint="eastAsia" w:asciiTheme="minorEastAsia" w:hAnsiTheme="minorEastAsia" w:eastAsiaTheme="minorEastAsia" w:cstheme="minorEastAsia"/>
          <w:kern w:val="2"/>
          <w:sz w:val="24"/>
          <w:szCs w:val="24"/>
          <w:highlight w:val="none"/>
          <w:lang w:val="en-US" w:eastAsia="zh-CN" w:bidi="ar-SA"/>
        </w:rPr>
        <w:t>2290</w:t>
      </w:r>
      <w:r>
        <w:rPr>
          <w:rFonts w:hint="default" w:asciiTheme="minorEastAsia" w:hAnsiTheme="minorEastAsia" w:eastAsiaTheme="minorEastAsia" w:cstheme="minorEastAsia"/>
          <w:kern w:val="2"/>
          <w:sz w:val="24"/>
          <w:szCs w:val="24"/>
          <w:highlight w:val="none"/>
          <w:lang w:val="en-US" w:eastAsia="zh-CN" w:bidi="ar-SA"/>
        </w:rPr>
        <w:t>人获学士学位，学位授予率9</w:t>
      </w:r>
      <w:r>
        <w:rPr>
          <w:rFonts w:hint="eastAsia" w:asciiTheme="minorEastAsia" w:hAnsiTheme="minorEastAsia" w:eastAsiaTheme="minorEastAsia" w:cstheme="minorEastAsia"/>
          <w:kern w:val="2"/>
          <w:sz w:val="24"/>
          <w:szCs w:val="24"/>
          <w:highlight w:val="none"/>
          <w:lang w:val="en-US" w:eastAsia="zh-CN" w:bidi="ar-SA"/>
        </w:rPr>
        <w:t>7</w:t>
      </w:r>
      <w:r>
        <w:rPr>
          <w:rFonts w:hint="default" w:asciiTheme="minorEastAsia" w:hAnsiTheme="minorEastAsia" w:eastAsiaTheme="minorEastAsia" w:cstheme="minorEastAsia"/>
          <w:kern w:val="2"/>
          <w:sz w:val="24"/>
          <w:szCs w:val="24"/>
          <w:highlight w:val="none"/>
          <w:lang w:val="en-US" w:eastAsia="zh-CN" w:bidi="ar-SA"/>
        </w:rPr>
        <w:t>.8</w:t>
      </w:r>
      <w:r>
        <w:rPr>
          <w:rFonts w:hint="eastAsia" w:asciiTheme="minorEastAsia" w:hAnsiTheme="minorEastAsia" w:eastAsiaTheme="minorEastAsia" w:cstheme="minorEastAsia"/>
          <w:kern w:val="2"/>
          <w:sz w:val="24"/>
          <w:szCs w:val="24"/>
          <w:highlight w:val="none"/>
          <w:lang w:val="en-US" w:eastAsia="zh-CN" w:bidi="ar-SA"/>
        </w:rPr>
        <w:t>6</w:t>
      </w:r>
      <w:r>
        <w:rPr>
          <w:rFonts w:hint="default" w:asciiTheme="minorEastAsia" w:hAnsiTheme="minorEastAsia" w:eastAsiaTheme="minorEastAsia" w:cstheme="minorEastAsia"/>
          <w:kern w:val="2"/>
          <w:sz w:val="24"/>
          <w:szCs w:val="24"/>
          <w:highlight w:val="none"/>
          <w:lang w:val="en-US" w:eastAsia="zh-CN" w:bidi="ar-SA"/>
        </w:rPr>
        <w:t>%。应届本科生毕业及学位授予情况</w:t>
      </w:r>
      <w:r>
        <w:rPr>
          <w:rFonts w:hint="eastAsia" w:asciiTheme="minorEastAsia" w:hAnsiTheme="minorEastAsia" w:eastAsiaTheme="minorEastAsia" w:cstheme="minorEastAsia"/>
          <w:kern w:val="2"/>
          <w:sz w:val="24"/>
          <w:szCs w:val="24"/>
          <w:highlight w:val="none"/>
          <w:lang w:val="en-US" w:eastAsia="zh-CN" w:bidi="ar-SA"/>
        </w:rPr>
        <w:t>见表7</w:t>
      </w:r>
      <w:r>
        <w:rPr>
          <w:rFonts w:hint="default" w:asciiTheme="minorEastAsia" w:hAnsiTheme="minorEastAsia" w:eastAsiaTheme="minorEastAsia" w:cstheme="minorEastAsia"/>
          <w:kern w:val="2"/>
          <w:sz w:val="24"/>
          <w:szCs w:val="24"/>
          <w:highlight w:val="none"/>
          <w:lang w:val="en-US" w:eastAsia="zh-CN" w:bidi="ar-SA"/>
        </w:rPr>
        <w:t>。</w:t>
      </w:r>
    </w:p>
    <w:p>
      <w:pPr>
        <w:spacing w:line="400" w:lineRule="exact"/>
        <w:ind w:firstLine="422" w:firstLineChars="200"/>
        <w:jc w:val="center"/>
        <w:rPr>
          <w:rFonts w:hint="default" w:ascii="Times New Roman" w:hAnsi="Times New Roman" w:eastAsia="宋体" w:cs="Times New Roman"/>
          <w:b/>
          <w:bCs/>
          <w:color w:val="auto"/>
          <w:sz w:val="21"/>
          <w:szCs w:val="21"/>
          <w:lang w:val="en-US" w:eastAsia="zh-CN"/>
        </w:rPr>
      </w:pPr>
    </w:p>
    <w:p>
      <w:pPr>
        <w:spacing w:line="400" w:lineRule="exact"/>
        <w:ind w:firstLine="420" w:firstLineChars="200"/>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表</w:t>
      </w:r>
      <w:r>
        <w:rPr>
          <w:rFonts w:hint="eastAsia" w:ascii="Times New Roman" w:hAnsi="Times New Roman" w:cs="Times New Roman"/>
          <w:b w:val="0"/>
          <w:bCs w:val="0"/>
          <w:color w:val="auto"/>
          <w:sz w:val="21"/>
          <w:szCs w:val="21"/>
          <w:lang w:val="en-US" w:eastAsia="zh-CN"/>
        </w:rPr>
        <w:t>7</w:t>
      </w:r>
      <w:r>
        <w:rPr>
          <w:rFonts w:hint="default" w:ascii="Times New Roman" w:hAnsi="Times New Roman" w:eastAsia="宋体" w:cs="Times New Roman"/>
          <w:b w:val="0"/>
          <w:bCs w:val="0"/>
          <w:color w:val="auto"/>
          <w:sz w:val="21"/>
          <w:szCs w:val="21"/>
          <w:lang w:val="en-US" w:eastAsia="zh-CN"/>
        </w:rPr>
        <w:t xml:space="preserve">  应届本科生毕业及学位授予情况</w:t>
      </w:r>
    </w:p>
    <w:tbl>
      <w:tblPr>
        <w:tblStyle w:val="13"/>
        <w:tblW w:w="8325" w:type="dxa"/>
        <w:tblInd w:w="129"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095"/>
        <w:gridCol w:w="1320"/>
        <w:gridCol w:w="1560"/>
        <w:gridCol w:w="1455"/>
        <w:gridCol w:w="1500"/>
        <w:gridCol w:w="139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095"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毕业年份</w:t>
            </w:r>
          </w:p>
        </w:tc>
        <w:tc>
          <w:tcPr>
            <w:tcW w:w="1320"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应届本科生总人数</w:t>
            </w:r>
          </w:p>
        </w:tc>
        <w:tc>
          <w:tcPr>
            <w:tcW w:w="1560"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应届本科生</w:t>
            </w:r>
          </w:p>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实际毕业人数</w:t>
            </w:r>
          </w:p>
        </w:tc>
        <w:tc>
          <w:tcPr>
            <w:tcW w:w="1455"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应届本科生毕业率</w:t>
            </w:r>
          </w:p>
        </w:tc>
        <w:tc>
          <w:tcPr>
            <w:tcW w:w="1500"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应届本科生</w:t>
            </w:r>
          </w:p>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学位授予人数</w:t>
            </w:r>
          </w:p>
        </w:tc>
        <w:tc>
          <w:tcPr>
            <w:tcW w:w="1395"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应届本科生学位授予率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095"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202</w:t>
            </w:r>
            <w:r>
              <w:rPr>
                <w:rFonts w:hint="eastAsia" w:ascii="Times New Roman" w:hAnsi="Times New Roman" w:cs="Times New Roman"/>
                <w:color w:val="auto"/>
                <w:szCs w:val="21"/>
                <w:lang w:val="en-US" w:eastAsia="zh-CN"/>
              </w:rPr>
              <w:t>4</w:t>
            </w:r>
            <w:r>
              <w:rPr>
                <w:rFonts w:hint="default" w:ascii="Times New Roman" w:hAnsi="Times New Roman" w:eastAsia="宋体" w:cs="Times New Roman"/>
                <w:color w:val="auto"/>
                <w:szCs w:val="21"/>
              </w:rPr>
              <w:t>年</w:t>
            </w:r>
          </w:p>
        </w:tc>
        <w:tc>
          <w:tcPr>
            <w:tcW w:w="1320"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2340</w:t>
            </w:r>
          </w:p>
        </w:tc>
        <w:tc>
          <w:tcPr>
            <w:tcW w:w="1560"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2300</w:t>
            </w:r>
          </w:p>
        </w:tc>
        <w:tc>
          <w:tcPr>
            <w:tcW w:w="1455"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9</w:t>
            </w:r>
            <w:r>
              <w:rPr>
                <w:rFonts w:hint="eastAsia" w:ascii="Times New Roman" w:hAnsi="Times New Roman" w:cs="Times New Roman"/>
                <w:color w:val="auto"/>
                <w:szCs w:val="21"/>
                <w:lang w:val="en-US" w:eastAsia="zh-CN"/>
              </w:rPr>
              <w:t>8</w:t>
            </w:r>
            <w:r>
              <w:rPr>
                <w:rFonts w:hint="eastAsia" w:ascii="Times New Roman" w:hAnsi="Times New Roman" w:eastAsia="宋体" w:cs="Times New Roman"/>
                <w:color w:val="auto"/>
                <w:szCs w:val="21"/>
                <w:lang w:val="en-US" w:eastAsia="zh-CN"/>
              </w:rPr>
              <w:t>.</w:t>
            </w:r>
            <w:r>
              <w:rPr>
                <w:rFonts w:hint="eastAsia" w:ascii="Times New Roman" w:hAnsi="Times New Roman" w:cs="Times New Roman"/>
                <w:color w:val="auto"/>
                <w:szCs w:val="21"/>
                <w:lang w:val="en-US" w:eastAsia="zh-CN"/>
              </w:rPr>
              <w:t>2</w:t>
            </w:r>
            <w:r>
              <w:rPr>
                <w:rFonts w:hint="eastAsia" w:ascii="Times New Roman" w:hAnsi="Times New Roman" w:eastAsia="宋体" w:cs="Times New Roman"/>
                <w:color w:val="auto"/>
                <w:szCs w:val="21"/>
                <w:lang w:val="en-US" w:eastAsia="zh-CN"/>
              </w:rPr>
              <w:t>9</w:t>
            </w:r>
            <w:r>
              <w:rPr>
                <w:rFonts w:hint="default" w:ascii="Times New Roman" w:hAnsi="Times New Roman" w:eastAsia="宋体" w:cs="Times New Roman"/>
                <w:color w:val="auto"/>
                <w:szCs w:val="21"/>
              </w:rPr>
              <w:t>%</w:t>
            </w:r>
          </w:p>
        </w:tc>
        <w:tc>
          <w:tcPr>
            <w:tcW w:w="1500"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2290</w:t>
            </w:r>
          </w:p>
        </w:tc>
        <w:tc>
          <w:tcPr>
            <w:tcW w:w="1395"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9</w:t>
            </w:r>
            <w:r>
              <w:rPr>
                <w:rFonts w:hint="eastAsia" w:ascii="Times New Roman" w:hAnsi="Times New Roman" w:cs="Times New Roman"/>
                <w:color w:val="auto"/>
                <w:szCs w:val="21"/>
                <w:lang w:val="en-US" w:eastAsia="zh-CN"/>
              </w:rPr>
              <w:t>7</w:t>
            </w:r>
            <w:r>
              <w:rPr>
                <w:rFonts w:hint="default" w:ascii="Times New Roman" w:hAnsi="Times New Roman" w:eastAsia="宋体" w:cs="Times New Roman"/>
                <w:color w:val="auto"/>
                <w:szCs w:val="21"/>
              </w:rPr>
              <w:t>.</w:t>
            </w:r>
            <w:r>
              <w:rPr>
                <w:rFonts w:hint="eastAsia" w:ascii="Times New Roman" w:hAnsi="Times New Roman" w:eastAsia="宋体" w:cs="Times New Roman"/>
                <w:color w:val="auto"/>
                <w:szCs w:val="21"/>
                <w:lang w:val="en-US" w:eastAsia="zh-CN"/>
              </w:rPr>
              <w:t>8</w:t>
            </w:r>
            <w:r>
              <w:rPr>
                <w:rFonts w:hint="eastAsia" w:ascii="Times New Roman" w:hAnsi="Times New Roman" w:cs="Times New Roman"/>
                <w:color w:val="auto"/>
                <w:szCs w:val="21"/>
                <w:lang w:val="en-US" w:eastAsia="zh-CN"/>
              </w:rPr>
              <w:t>6</w:t>
            </w:r>
            <w:r>
              <w:rPr>
                <w:rFonts w:hint="default" w:ascii="Times New Roman" w:hAnsi="Times New Roman" w:eastAsia="宋体" w:cs="Times New Roman"/>
                <w:color w:val="auto"/>
                <w:szCs w:val="21"/>
              </w:rPr>
              <w:t>%</w:t>
            </w:r>
          </w:p>
        </w:tc>
      </w:tr>
    </w:tbl>
    <w:p>
      <w:pPr>
        <w:pStyle w:val="17"/>
        <w:numPr>
          <w:ilvl w:val="0"/>
          <w:numId w:val="0"/>
        </w:numPr>
        <w:tabs>
          <w:tab w:val="left" w:pos="581"/>
        </w:tabs>
        <w:ind w:leftChars="0"/>
        <w:outlineLvl w:val="2"/>
        <w:rPr>
          <w:rFonts w:hint="eastAsia" w:ascii="Times New Roman" w:hAnsi="Times New Roman" w:eastAsia="黑体"/>
          <w:sz w:val="24"/>
          <w:lang w:val="en-US" w:eastAsia="zh-CN"/>
        </w:rPr>
      </w:pPr>
    </w:p>
    <w:p>
      <w:pPr>
        <w:pStyle w:val="17"/>
        <w:numPr>
          <w:ilvl w:val="0"/>
          <w:numId w:val="0"/>
        </w:numPr>
        <w:tabs>
          <w:tab w:val="left" w:pos="581"/>
        </w:tabs>
        <w:ind w:leftChars="0"/>
        <w:outlineLvl w:val="2"/>
        <w:rPr>
          <w:rFonts w:hint="eastAsia" w:ascii="Times New Roman" w:hAnsi="Times New Roman" w:eastAsia="黑体"/>
          <w:sz w:val="24"/>
        </w:rPr>
      </w:pPr>
      <w:r>
        <w:rPr>
          <w:rFonts w:hint="eastAsia" w:ascii="Times New Roman" w:hAnsi="Times New Roman" w:eastAsia="黑体"/>
          <w:sz w:val="24"/>
          <w:lang w:val="en-US" w:eastAsia="zh-CN"/>
        </w:rPr>
        <w:t>2.</w:t>
      </w:r>
      <w:r>
        <w:rPr>
          <w:rFonts w:ascii="Times New Roman" w:hAnsi="Times New Roman" w:eastAsia="黑体"/>
          <w:sz w:val="24"/>
        </w:rPr>
        <w:t>毕业生攻读研究生情况</w:t>
      </w:r>
    </w:p>
    <w:p>
      <w:pPr>
        <w:pStyle w:val="4"/>
        <w:keepNext w:val="0"/>
        <w:keepLines w:val="0"/>
        <w:pageBreakBefore w:val="0"/>
        <w:widowControl w:val="0"/>
        <w:kinsoku/>
        <w:wordWrap/>
        <w:overflowPunct/>
        <w:topLinePunct w:val="0"/>
        <w:autoSpaceDE w:val="0"/>
        <w:autoSpaceDN w:val="0"/>
        <w:bidi w:val="0"/>
        <w:adjustRightInd/>
        <w:snapToGrid/>
        <w:spacing w:line="400" w:lineRule="exact"/>
        <w:ind w:left="0" w:leftChars="0" w:firstLine="480" w:firstLineChars="200"/>
        <w:jc w:val="both"/>
        <w:textAlignment w:val="auto"/>
        <w:rPr>
          <w:rFonts w:hint="eastAsia" w:ascii="Times New Roman" w:hAnsi="Times New Roman" w:eastAsiaTheme="minorEastAsia" w:cstheme="minorEastAsia"/>
          <w:color w:val="171A1D"/>
          <w:shd w:val="clear" w:color="auto" w:fill="FFFFFF"/>
        </w:rPr>
      </w:pPr>
      <w:r>
        <w:rPr>
          <w:rFonts w:hint="default" w:asciiTheme="minorEastAsia" w:hAnsiTheme="minorEastAsia" w:eastAsiaTheme="minorEastAsia" w:cstheme="minorEastAsia"/>
          <w:kern w:val="2"/>
          <w:sz w:val="24"/>
          <w:szCs w:val="24"/>
          <w:highlight w:val="none"/>
          <w:lang w:val="en-US" w:eastAsia="zh-CN" w:bidi="ar-SA"/>
        </w:rPr>
        <w:t>202</w:t>
      </w:r>
      <w:r>
        <w:rPr>
          <w:rFonts w:hint="eastAsia" w:asciiTheme="minorEastAsia" w:hAnsiTheme="minorEastAsia" w:eastAsiaTheme="minorEastAsia" w:cstheme="minorEastAsia"/>
          <w:kern w:val="2"/>
          <w:sz w:val="24"/>
          <w:szCs w:val="24"/>
          <w:highlight w:val="none"/>
          <w:lang w:val="en-US" w:eastAsia="zh-CN" w:bidi="ar-SA"/>
        </w:rPr>
        <w:t>4</w:t>
      </w:r>
      <w:r>
        <w:rPr>
          <w:rFonts w:hint="default" w:asciiTheme="minorEastAsia" w:hAnsiTheme="minorEastAsia" w:eastAsiaTheme="minorEastAsia" w:cstheme="minorEastAsia"/>
          <w:kern w:val="2"/>
          <w:sz w:val="24"/>
          <w:szCs w:val="24"/>
          <w:highlight w:val="none"/>
          <w:lang w:val="en-US" w:eastAsia="zh-CN" w:bidi="ar-SA"/>
        </w:rPr>
        <w:t>届毕业生报考</w:t>
      </w:r>
      <w:r>
        <w:rPr>
          <w:rFonts w:hint="eastAsia" w:asciiTheme="minorEastAsia" w:hAnsiTheme="minorEastAsia" w:eastAsiaTheme="minorEastAsia" w:cstheme="minorEastAsia"/>
          <w:kern w:val="2"/>
          <w:sz w:val="24"/>
          <w:szCs w:val="24"/>
          <w:highlight w:val="none"/>
          <w:lang w:val="en-US" w:eastAsia="zh-CN" w:bidi="ar-SA"/>
        </w:rPr>
        <w:t>研究生</w:t>
      </w:r>
      <w:r>
        <w:rPr>
          <w:rFonts w:hint="default" w:asciiTheme="minorEastAsia" w:hAnsiTheme="minorEastAsia" w:eastAsiaTheme="minorEastAsia" w:cstheme="minorEastAsia"/>
          <w:kern w:val="2"/>
          <w:sz w:val="24"/>
          <w:szCs w:val="24"/>
          <w:highlight w:val="none"/>
          <w:lang w:val="en-US" w:eastAsia="zh-CN" w:bidi="ar-SA"/>
        </w:rPr>
        <w:t>人数</w:t>
      </w:r>
      <w:r>
        <w:rPr>
          <w:rFonts w:hint="eastAsia" w:asciiTheme="minorEastAsia" w:hAnsiTheme="minorEastAsia" w:eastAsiaTheme="minorEastAsia" w:cstheme="minorEastAsia"/>
          <w:kern w:val="2"/>
          <w:sz w:val="24"/>
          <w:szCs w:val="24"/>
          <w:highlight w:val="none"/>
          <w:lang w:val="en-US" w:eastAsia="zh-CN" w:bidi="ar-SA"/>
        </w:rPr>
        <w:t>671</w:t>
      </w:r>
      <w:r>
        <w:rPr>
          <w:rFonts w:hint="default" w:asciiTheme="minorEastAsia" w:hAnsiTheme="minorEastAsia" w:eastAsiaTheme="minorEastAsia" w:cstheme="minorEastAsia"/>
          <w:kern w:val="2"/>
          <w:sz w:val="24"/>
          <w:szCs w:val="24"/>
          <w:highlight w:val="none"/>
          <w:lang w:val="en-US" w:eastAsia="zh-CN" w:bidi="ar-SA"/>
        </w:rPr>
        <w:t>人，占毕业生总人数</w:t>
      </w:r>
      <w:r>
        <w:rPr>
          <w:rFonts w:hint="eastAsia" w:asciiTheme="minorEastAsia" w:hAnsiTheme="minorEastAsia" w:eastAsiaTheme="minorEastAsia" w:cstheme="minorEastAsia"/>
          <w:kern w:val="2"/>
          <w:sz w:val="24"/>
          <w:szCs w:val="24"/>
          <w:highlight w:val="none"/>
          <w:lang w:val="en-US" w:eastAsia="zh-CN" w:bidi="ar-SA"/>
        </w:rPr>
        <w:t>29.17</w:t>
      </w:r>
      <w:r>
        <w:rPr>
          <w:rFonts w:hint="default" w:asciiTheme="minorEastAsia" w:hAnsiTheme="minorEastAsia" w:eastAsiaTheme="minorEastAsia" w:cstheme="minorEastAsia"/>
          <w:kern w:val="2"/>
          <w:sz w:val="24"/>
          <w:szCs w:val="24"/>
          <w:highlight w:val="none"/>
          <w:lang w:val="en-US" w:eastAsia="zh-CN" w:bidi="ar-SA"/>
        </w:rPr>
        <w:t>%</w:t>
      </w:r>
      <w:r>
        <w:rPr>
          <w:rFonts w:hint="eastAsia" w:asciiTheme="minorEastAsia" w:hAnsiTheme="minorEastAsia" w:eastAsiaTheme="minorEastAsia" w:cstheme="minorEastAsia"/>
          <w:kern w:val="2"/>
          <w:sz w:val="24"/>
          <w:szCs w:val="24"/>
          <w:highlight w:val="none"/>
          <w:lang w:val="en-US" w:eastAsia="zh-CN" w:bidi="ar-SA"/>
        </w:rPr>
        <w:t>。截至2024年9</w:t>
      </w:r>
      <w:r>
        <w:rPr>
          <w:rFonts w:hint="default" w:asciiTheme="minorEastAsia" w:hAnsiTheme="minorEastAsia" w:eastAsiaTheme="minorEastAsia" w:cstheme="minorEastAsia"/>
          <w:kern w:val="2"/>
          <w:sz w:val="24"/>
          <w:szCs w:val="24"/>
          <w:highlight w:val="none"/>
          <w:lang w:val="en-US" w:eastAsia="zh-CN" w:bidi="ar-SA"/>
        </w:rPr>
        <w:t>月1日，考研录取（含出国、出境）人数</w:t>
      </w:r>
      <w:r>
        <w:rPr>
          <w:rFonts w:hint="eastAsia" w:asciiTheme="minorEastAsia" w:hAnsiTheme="minorEastAsia" w:eastAsiaTheme="minorEastAsia" w:cstheme="minorEastAsia"/>
          <w:kern w:val="2"/>
          <w:sz w:val="24"/>
          <w:szCs w:val="24"/>
          <w:highlight w:val="none"/>
          <w:lang w:val="en-US" w:eastAsia="zh-CN" w:bidi="ar-SA"/>
        </w:rPr>
        <w:t>22</w:t>
      </w:r>
      <w:r>
        <w:rPr>
          <w:rFonts w:hint="default" w:asciiTheme="minorEastAsia" w:hAnsiTheme="minorEastAsia" w:eastAsiaTheme="minorEastAsia" w:cstheme="minorEastAsia"/>
          <w:kern w:val="2"/>
          <w:sz w:val="24"/>
          <w:szCs w:val="24"/>
          <w:highlight w:val="none"/>
          <w:lang w:val="en-US" w:eastAsia="zh-CN" w:bidi="ar-SA"/>
        </w:rPr>
        <w:t>7人，升学率为</w:t>
      </w:r>
      <w:r>
        <w:rPr>
          <w:rFonts w:hint="eastAsia" w:asciiTheme="minorEastAsia" w:hAnsiTheme="minorEastAsia" w:eastAsiaTheme="minorEastAsia" w:cstheme="minorEastAsia"/>
          <w:kern w:val="2"/>
          <w:sz w:val="24"/>
          <w:szCs w:val="24"/>
          <w:highlight w:val="none"/>
          <w:lang w:val="en-US" w:eastAsia="zh-CN" w:bidi="ar-SA"/>
        </w:rPr>
        <w:t>9.</w:t>
      </w:r>
      <w:r>
        <w:rPr>
          <w:rFonts w:hint="default" w:asciiTheme="minorEastAsia" w:hAnsiTheme="minorEastAsia" w:eastAsiaTheme="minorEastAsia" w:cstheme="minorEastAsia"/>
          <w:kern w:val="2"/>
          <w:sz w:val="24"/>
          <w:szCs w:val="24"/>
          <w:highlight w:val="none"/>
          <w:lang w:val="en-US" w:eastAsia="zh-CN" w:bidi="ar-SA"/>
        </w:rPr>
        <w:t>87%，</w:t>
      </w:r>
      <w:r>
        <w:rPr>
          <w:rFonts w:hint="eastAsia" w:asciiTheme="minorEastAsia" w:hAnsiTheme="minorEastAsia" w:eastAsiaTheme="minorEastAsia" w:cstheme="minorEastAsia"/>
          <w:kern w:val="2"/>
          <w:sz w:val="24"/>
          <w:szCs w:val="24"/>
          <w:highlight w:val="none"/>
          <w:lang w:val="en-US" w:eastAsia="zh-CN" w:bidi="ar-SA"/>
        </w:rPr>
        <w:t>同2023届毕业生比高出2.1</w:t>
      </w:r>
      <w:r>
        <w:rPr>
          <w:rFonts w:hint="default" w:asciiTheme="minorEastAsia" w:hAnsiTheme="minorEastAsia" w:eastAsiaTheme="minorEastAsia" w:cstheme="minorEastAsia"/>
          <w:kern w:val="2"/>
          <w:sz w:val="24"/>
          <w:szCs w:val="24"/>
          <w:highlight w:val="none"/>
          <w:lang w:val="en-US" w:eastAsia="zh-CN" w:bidi="ar-SA"/>
        </w:rPr>
        <w:t>2</w:t>
      </w:r>
      <w:r>
        <w:rPr>
          <w:rFonts w:hint="eastAsia" w:asciiTheme="minorEastAsia" w:hAnsiTheme="minorEastAsia" w:eastAsiaTheme="minorEastAsia" w:cstheme="minorEastAsia"/>
          <w:kern w:val="2"/>
          <w:sz w:val="24"/>
          <w:szCs w:val="24"/>
          <w:highlight w:val="none"/>
          <w:lang w:val="en-US" w:eastAsia="zh-CN" w:bidi="ar-SA"/>
        </w:rPr>
        <w:t>个百分点。</w:t>
      </w:r>
    </w:p>
    <w:p>
      <w:pPr>
        <w:pStyle w:val="17"/>
        <w:numPr>
          <w:ilvl w:val="0"/>
          <w:numId w:val="0"/>
        </w:numPr>
        <w:tabs>
          <w:tab w:val="left" w:pos="581"/>
        </w:tabs>
        <w:ind w:leftChars="0"/>
        <w:outlineLvl w:val="2"/>
        <w:rPr>
          <w:rFonts w:hint="eastAsia" w:ascii="Times New Roman" w:hAnsi="Times New Roman" w:eastAsia="黑体"/>
          <w:sz w:val="24"/>
          <w:lang w:val="en-US" w:eastAsia="zh-CN"/>
        </w:rPr>
      </w:pPr>
      <w:r>
        <w:rPr>
          <w:rFonts w:hint="eastAsia" w:ascii="Times New Roman" w:hAnsi="Times New Roman" w:eastAsia="黑体"/>
          <w:sz w:val="24"/>
          <w:lang w:val="en-US" w:eastAsia="zh-CN"/>
        </w:rPr>
        <w:t>3.毕业生就业情况</w:t>
      </w:r>
    </w:p>
    <w:p>
      <w:pPr>
        <w:pStyle w:val="4"/>
        <w:keepNext w:val="0"/>
        <w:keepLines w:val="0"/>
        <w:pageBreakBefore w:val="0"/>
        <w:widowControl w:val="0"/>
        <w:kinsoku/>
        <w:wordWrap/>
        <w:overflowPunct/>
        <w:topLinePunct w:val="0"/>
        <w:autoSpaceDE w:val="0"/>
        <w:autoSpaceDN w:val="0"/>
        <w:bidi w:val="0"/>
        <w:adjustRightInd/>
        <w:snapToGrid/>
        <w:spacing w:line="400" w:lineRule="exact"/>
        <w:ind w:left="0" w:leftChars="0" w:firstLine="480" w:firstLineChars="200"/>
        <w:jc w:val="both"/>
        <w:textAlignment w:val="auto"/>
        <w:rPr>
          <w:rFonts w:hint="default"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学校认真贯彻落实党和国家对于高校毕业生就业工作的重大决策部署，毕业生就业形势总体向好。2024届本科毕业生总人数2300人，学校</w:t>
      </w:r>
      <w:r>
        <w:rPr>
          <w:rFonts w:hint="default" w:asciiTheme="minorEastAsia" w:hAnsiTheme="minorEastAsia" w:eastAsiaTheme="minorEastAsia" w:cstheme="minorEastAsia"/>
          <w:kern w:val="2"/>
          <w:sz w:val="24"/>
          <w:szCs w:val="24"/>
          <w:highlight w:val="none"/>
          <w:lang w:val="en-US" w:eastAsia="zh-CN" w:bidi="ar-SA"/>
        </w:rPr>
        <w:t>前期</w:t>
      </w:r>
      <w:r>
        <w:rPr>
          <w:rFonts w:hint="eastAsia" w:asciiTheme="minorEastAsia" w:hAnsiTheme="minorEastAsia" w:eastAsiaTheme="minorEastAsia" w:cstheme="minorEastAsia"/>
          <w:kern w:val="2"/>
          <w:sz w:val="24"/>
          <w:szCs w:val="24"/>
          <w:highlight w:val="none"/>
          <w:lang w:val="en-US" w:eastAsia="zh-CN" w:bidi="ar-SA"/>
        </w:rPr>
        <w:t>全方位布局，积极谋划，通过“六航促就业”</w:t>
      </w:r>
      <w:r>
        <w:rPr>
          <w:rFonts w:hint="default" w:asciiTheme="minorEastAsia" w:hAnsiTheme="minorEastAsia" w:eastAsiaTheme="minorEastAsia" w:cstheme="minorEastAsia"/>
          <w:kern w:val="2"/>
          <w:sz w:val="24"/>
          <w:szCs w:val="24"/>
          <w:highlight w:val="none"/>
          <w:lang w:val="en-US" w:eastAsia="zh-CN" w:bidi="ar-SA"/>
        </w:rPr>
        <w:t>，</w:t>
      </w:r>
      <w:r>
        <w:rPr>
          <w:rFonts w:hint="eastAsia" w:asciiTheme="minorEastAsia" w:hAnsiTheme="minorEastAsia" w:eastAsiaTheme="minorEastAsia" w:cstheme="minorEastAsia"/>
          <w:kern w:val="2"/>
          <w:sz w:val="24"/>
          <w:szCs w:val="24"/>
          <w:highlight w:val="none"/>
          <w:lang w:val="en-US" w:eastAsia="zh-CN" w:bidi="ar-SA"/>
        </w:rPr>
        <w:t>借助“遇见湖州”“白鹭齐飞”等活动，前置性开展大学生职业规划和实习实践活动</w:t>
      </w:r>
      <w:r>
        <w:rPr>
          <w:rFonts w:hint="default" w:asciiTheme="minorEastAsia" w:hAnsiTheme="minorEastAsia" w:eastAsiaTheme="minorEastAsia" w:cstheme="minorEastAsia"/>
          <w:kern w:val="2"/>
          <w:sz w:val="24"/>
          <w:szCs w:val="24"/>
          <w:highlight w:val="none"/>
          <w:lang w:val="en-US" w:eastAsia="zh-CN" w:bidi="ar-SA"/>
        </w:rPr>
        <w:t>，以</w:t>
      </w:r>
      <w:r>
        <w:rPr>
          <w:rFonts w:hint="eastAsia" w:asciiTheme="minorEastAsia" w:hAnsiTheme="minorEastAsia" w:eastAsiaTheme="minorEastAsia" w:cstheme="minorEastAsia"/>
          <w:kern w:val="2"/>
          <w:sz w:val="24"/>
          <w:szCs w:val="24"/>
          <w:highlight w:val="none"/>
          <w:lang w:val="en-US" w:eastAsia="zh-CN" w:bidi="ar-SA"/>
        </w:rPr>
        <w:t>多渠道和分层次的方式为毕业生提供就业指导与服务</w:t>
      </w:r>
      <w:r>
        <w:rPr>
          <w:rFonts w:hint="default" w:asciiTheme="minorEastAsia" w:hAnsiTheme="minorEastAsia" w:eastAsiaTheme="minorEastAsia" w:cstheme="minorEastAsia"/>
          <w:kern w:val="2"/>
          <w:sz w:val="24"/>
          <w:szCs w:val="24"/>
          <w:highlight w:val="none"/>
          <w:lang w:val="en-US" w:eastAsia="zh-CN" w:bidi="ar-SA"/>
        </w:rPr>
        <w:t>，</w:t>
      </w:r>
      <w:r>
        <w:rPr>
          <w:rFonts w:hint="eastAsia" w:asciiTheme="minorEastAsia" w:hAnsiTheme="minorEastAsia" w:eastAsiaTheme="minorEastAsia" w:cstheme="minorEastAsia"/>
          <w:kern w:val="2"/>
          <w:sz w:val="24"/>
          <w:szCs w:val="24"/>
          <w:highlight w:val="none"/>
          <w:lang w:val="en-US" w:eastAsia="zh-CN" w:bidi="ar-SA"/>
        </w:rPr>
        <w:t>全力推动毕业生高质量且充分就业。截至2024年8月31日，我校就业人数已达到2200人，本科毕业生初次就业去向落实率为95.65%，较2023年提升了3.21个百分点。</w:t>
      </w:r>
      <w:r>
        <w:rPr>
          <w:rFonts w:hint="default" w:asciiTheme="minorEastAsia" w:hAnsiTheme="minorEastAsia" w:eastAsiaTheme="minorEastAsia" w:cstheme="minorEastAsia"/>
          <w:kern w:val="2"/>
          <w:sz w:val="24"/>
          <w:szCs w:val="24"/>
          <w:highlight w:val="none"/>
          <w:lang w:val="en-US" w:eastAsia="zh-CN" w:bidi="ar-SA"/>
        </w:rPr>
        <w:t>2024届本科毕业生</w:t>
      </w:r>
      <w:r>
        <w:rPr>
          <w:rFonts w:hint="eastAsia" w:asciiTheme="minorEastAsia" w:hAnsiTheme="minorEastAsia" w:eastAsiaTheme="minorEastAsia" w:cstheme="minorEastAsia"/>
          <w:kern w:val="2"/>
          <w:sz w:val="24"/>
          <w:szCs w:val="24"/>
          <w:highlight w:val="none"/>
          <w:lang w:val="en-US" w:eastAsia="zh-CN" w:bidi="ar-SA"/>
        </w:rPr>
        <w:t>各专业</w:t>
      </w:r>
      <w:r>
        <w:rPr>
          <w:rFonts w:hint="default" w:asciiTheme="minorEastAsia" w:hAnsiTheme="minorEastAsia" w:eastAsiaTheme="minorEastAsia" w:cstheme="minorEastAsia"/>
          <w:kern w:val="2"/>
          <w:sz w:val="24"/>
          <w:szCs w:val="24"/>
          <w:highlight w:val="none"/>
          <w:lang w:val="en-US" w:eastAsia="zh-CN" w:bidi="ar-SA"/>
        </w:rPr>
        <w:t>初次就业率</w:t>
      </w:r>
      <w:r>
        <w:rPr>
          <w:rFonts w:hint="eastAsia" w:asciiTheme="minorEastAsia" w:hAnsiTheme="minorEastAsia" w:eastAsiaTheme="minorEastAsia" w:cstheme="minorEastAsia"/>
          <w:kern w:val="2"/>
          <w:sz w:val="24"/>
          <w:szCs w:val="24"/>
          <w:highlight w:val="none"/>
          <w:lang w:val="en-US" w:eastAsia="zh-CN" w:bidi="ar-SA"/>
        </w:rPr>
        <w:t>、</w:t>
      </w:r>
      <w:r>
        <w:rPr>
          <w:rFonts w:hint="default" w:asciiTheme="minorEastAsia" w:hAnsiTheme="minorEastAsia" w:eastAsiaTheme="minorEastAsia" w:cstheme="minorEastAsia"/>
          <w:kern w:val="2"/>
          <w:sz w:val="24"/>
          <w:szCs w:val="24"/>
          <w:highlight w:val="none"/>
          <w:lang w:val="en-US" w:eastAsia="zh-CN" w:bidi="ar-SA"/>
        </w:rPr>
        <w:t>就业去向情况表</w:t>
      </w:r>
      <w:r>
        <w:rPr>
          <w:rFonts w:hint="eastAsia" w:asciiTheme="minorEastAsia" w:hAnsiTheme="minorEastAsia" w:eastAsiaTheme="minorEastAsia" w:cstheme="minorEastAsia"/>
          <w:kern w:val="2"/>
          <w:sz w:val="24"/>
          <w:szCs w:val="24"/>
          <w:highlight w:val="none"/>
          <w:lang w:val="en-US" w:eastAsia="zh-CN" w:bidi="ar-SA"/>
        </w:rPr>
        <w:t>见表8-9。</w:t>
      </w:r>
    </w:p>
    <w:p>
      <w:pPr>
        <w:tabs>
          <w:tab w:val="left" w:pos="3445"/>
        </w:tabs>
        <w:spacing w:before="121" w:after="22"/>
        <w:jc w:val="center"/>
        <w:rPr>
          <w:rFonts w:hint="default" w:ascii="Times New Roman" w:hAnsi="Times New Roman" w:eastAsiaTheme="majorEastAsia"/>
          <w:b w:val="0"/>
          <w:bCs w:val="0"/>
          <w:sz w:val="21"/>
          <w:lang w:val="en-US" w:eastAsia="zh-CN"/>
        </w:rPr>
      </w:pPr>
      <w:r>
        <w:rPr>
          <w:rFonts w:hint="eastAsia" w:ascii="Times New Roman" w:hAnsi="Times New Roman" w:eastAsiaTheme="majorEastAsia"/>
          <w:b/>
          <w:bCs/>
          <w:w w:val="95"/>
          <w:sz w:val="21"/>
          <w:lang w:val="en-US" w:eastAsia="zh-CN"/>
        </w:rPr>
        <w:t xml:space="preserve">          </w:t>
      </w:r>
      <w:r>
        <w:rPr>
          <w:rFonts w:hint="default" w:ascii="Times New Roman" w:hAnsi="Times New Roman" w:eastAsia="宋体" w:cs="Times New Roman"/>
          <w:b w:val="0"/>
          <w:bCs w:val="0"/>
          <w:color w:val="auto"/>
          <w:sz w:val="21"/>
          <w:szCs w:val="21"/>
          <w:lang w:val="en-US" w:eastAsia="zh-CN"/>
        </w:rPr>
        <w:t>表</w:t>
      </w:r>
      <w:r>
        <w:rPr>
          <w:rFonts w:hint="eastAsia" w:ascii="Times New Roman" w:hAnsi="Times New Roman" w:cs="Times New Roman"/>
          <w:b w:val="0"/>
          <w:bCs w:val="0"/>
          <w:color w:val="auto"/>
          <w:sz w:val="21"/>
          <w:szCs w:val="21"/>
          <w:lang w:val="en-US" w:eastAsia="zh-CN"/>
        </w:rPr>
        <w:t>8</w:t>
      </w:r>
      <w:r>
        <w:rPr>
          <w:rFonts w:hint="eastAsia" w:ascii="Times New Roman" w:hAnsi="Times New Roman" w:eastAsia="宋体" w:cs="Times New Roman"/>
          <w:b w:val="0"/>
          <w:bCs w:val="0"/>
          <w:color w:val="auto"/>
          <w:sz w:val="21"/>
          <w:szCs w:val="21"/>
          <w:lang w:val="en-US" w:eastAsia="zh-CN"/>
        </w:rPr>
        <w:t xml:space="preserve">  </w:t>
      </w:r>
      <w:r>
        <w:rPr>
          <w:rFonts w:hint="default" w:ascii="Times New Roman" w:hAnsi="Times New Roman" w:eastAsia="宋体" w:cs="Times New Roman"/>
          <w:b w:val="0"/>
          <w:bCs w:val="0"/>
          <w:color w:val="auto"/>
          <w:sz w:val="21"/>
          <w:szCs w:val="21"/>
          <w:lang w:val="en-US" w:eastAsia="zh-CN"/>
        </w:rPr>
        <w:t>2024届本科毕业生</w:t>
      </w:r>
      <w:r>
        <w:rPr>
          <w:rFonts w:hint="eastAsia" w:ascii="Times New Roman" w:hAnsi="Times New Roman" w:eastAsia="宋体" w:cs="Times New Roman"/>
          <w:b w:val="0"/>
          <w:bCs w:val="0"/>
          <w:color w:val="auto"/>
          <w:sz w:val="21"/>
          <w:szCs w:val="21"/>
          <w:lang w:val="en-US" w:eastAsia="zh-CN"/>
        </w:rPr>
        <w:t>各专业</w:t>
      </w:r>
      <w:r>
        <w:rPr>
          <w:rFonts w:hint="default" w:ascii="Times New Roman" w:hAnsi="Times New Roman" w:eastAsia="宋体" w:cs="Times New Roman"/>
          <w:b w:val="0"/>
          <w:bCs w:val="0"/>
          <w:color w:val="auto"/>
          <w:sz w:val="21"/>
          <w:szCs w:val="21"/>
          <w:lang w:val="en-US" w:eastAsia="zh-CN"/>
        </w:rPr>
        <w:t>初次就业率</w:t>
      </w:r>
    </w:p>
    <w:tbl>
      <w:tblPr>
        <w:tblStyle w:val="12"/>
        <w:tblW w:w="8743" w:type="dxa"/>
        <w:tblInd w:w="0" w:type="dxa"/>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597"/>
        <w:gridCol w:w="1488"/>
        <w:gridCol w:w="2432"/>
        <w:gridCol w:w="1182"/>
        <w:gridCol w:w="1381"/>
        <w:gridCol w:w="1663"/>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510" w:hRule="atLeast"/>
          <w:tblHeader/>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b w:val="0"/>
                <w:bCs/>
                <w:i w:val="0"/>
                <w:color w:val="000000"/>
                <w:sz w:val="21"/>
                <w:szCs w:val="21"/>
                <w:u w:val="none"/>
              </w:rPr>
            </w:pPr>
            <w:r>
              <w:rPr>
                <w:rStyle w:val="18"/>
                <w:b w:val="0"/>
                <w:bCs/>
                <w:sz w:val="21"/>
                <w:szCs w:val="21"/>
                <w:lang w:val="en-US" w:eastAsia="zh-CN" w:bidi="ar"/>
              </w:rPr>
              <w:t>序号</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b w:val="0"/>
                <w:bCs/>
                <w:i w:val="0"/>
                <w:color w:val="000000"/>
                <w:sz w:val="21"/>
                <w:szCs w:val="21"/>
                <w:u w:val="none"/>
              </w:rPr>
            </w:pPr>
            <w:r>
              <w:rPr>
                <w:rStyle w:val="18"/>
                <w:b w:val="0"/>
                <w:bCs/>
                <w:sz w:val="21"/>
                <w:szCs w:val="21"/>
                <w:lang w:val="en-US" w:eastAsia="zh-CN" w:bidi="ar"/>
              </w:rPr>
              <w:t>专业名称</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b w:val="0"/>
                <w:bCs/>
                <w:i w:val="0"/>
                <w:color w:val="000000"/>
                <w:sz w:val="21"/>
                <w:szCs w:val="21"/>
                <w:u w:val="none"/>
              </w:rPr>
            </w:pPr>
            <w:r>
              <w:rPr>
                <w:rStyle w:val="18"/>
                <w:b w:val="0"/>
                <w:bCs/>
                <w:sz w:val="21"/>
                <w:szCs w:val="21"/>
                <w:lang w:val="en-US" w:eastAsia="zh-CN" w:bidi="ar"/>
              </w:rPr>
              <w:t>专业代码</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b w:val="0"/>
                <w:bCs/>
                <w:i w:val="0"/>
                <w:color w:val="000000"/>
                <w:sz w:val="21"/>
                <w:szCs w:val="21"/>
                <w:u w:val="none"/>
              </w:rPr>
            </w:pPr>
            <w:r>
              <w:rPr>
                <w:rStyle w:val="18"/>
                <w:b w:val="0"/>
                <w:bCs/>
                <w:sz w:val="21"/>
                <w:szCs w:val="21"/>
                <w:lang w:val="en-US" w:eastAsia="zh-CN" w:bidi="ar"/>
              </w:rPr>
              <w:t>毕业生人数</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val="0"/>
                <w:bCs/>
                <w:i w:val="0"/>
                <w:color w:val="000000"/>
                <w:sz w:val="21"/>
                <w:szCs w:val="21"/>
                <w:u w:val="none"/>
              </w:rPr>
            </w:pPr>
            <w:r>
              <w:rPr>
                <w:rFonts w:hint="eastAsia" w:ascii="宋体" w:hAnsi="宋体" w:eastAsia="宋体" w:cs="宋体"/>
                <w:b w:val="0"/>
                <w:bCs/>
                <w:i w:val="0"/>
                <w:color w:val="000000"/>
                <w:kern w:val="0"/>
                <w:sz w:val="21"/>
                <w:szCs w:val="21"/>
                <w:u w:val="none"/>
                <w:lang w:val="en-US" w:eastAsia="zh-CN" w:bidi="ar"/>
              </w:rPr>
              <w:t>就业人数</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b w:val="0"/>
                <w:bCs/>
                <w:i w:val="0"/>
                <w:color w:val="000000"/>
                <w:sz w:val="21"/>
                <w:szCs w:val="21"/>
                <w:u w:val="none"/>
              </w:rPr>
            </w:pPr>
            <w:r>
              <w:rPr>
                <w:rStyle w:val="18"/>
                <w:b w:val="0"/>
                <w:bCs/>
                <w:sz w:val="21"/>
                <w:szCs w:val="21"/>
                <w:lang w:val="en-US" w:eastAsia="zh-CN" w:bidi="ar"/>
              </w:rPr>
              <w:t>初次就业率</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080202</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机械设计制造及其自动化</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149</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144</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96.64%</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2</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080601</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电气工程及其自动化</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60</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59</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98.33%</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3</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080403</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材料化学</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76</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73</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96.05%</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4</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080705</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光电信息科学与工程</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26</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25</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96.15%</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5</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080701</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电子信息工程</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48</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46</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95.83%</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6</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080901</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计算机科学与技术</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191</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186</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97.38%</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7</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083001</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生物工程</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46</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43</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93.48%</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8</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81302</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制药工程</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74</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69</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93.24%</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101101K</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护理学</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299</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285</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95.32%</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10</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040203</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社会体育指导与管理</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76</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75</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98.68%</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8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11</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020401</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国际经济与贸易</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125</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118</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94.40%</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12</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020307T</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经济与金融</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69</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65</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94.20%</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13</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120801</w:t>
            </w:r>
          </w:p>
        </w:tc>
        <w:tc>
          <w:tcPr>
            <w:tcW w:w="243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电子商务</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155</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148</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95.48%</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14</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120202</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市场营销</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33</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31</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93.94%</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15</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120601</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物流管理</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47</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43</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91.49%</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16</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120402</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行政管理</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61</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55</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90.16%</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17</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050101</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汉语言文学</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251</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241</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96.02%</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18</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050303</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广告学</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49</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49</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100.00%</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19</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050262</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商务英语</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36</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34</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94.44%</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20</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050201</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英语</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147</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137</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93.20%</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21</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050207</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日语</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53</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52</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98.11%</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22</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130502</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视觉传达设计</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134</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130</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97.01%</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23</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130503</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环境设计</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94</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91</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96.81%</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24</w:t>
            </w:r>
          </w:p>
        </w:tc>
        <w:tc>
          <w:tcPr>
            <w:tcW w:w="148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050107T</w:t>
            </w:r>
          </w:p>
        </w:tc>
        <w:tc>
          <w:tcPr>
            <w:tcW w:w="24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eastAsia" w:asciiTheme="minorEastAsia" w:hAnsiTheme="minorEastAsia" w:eastAsiaTheme="minorEastAsia" w:cstheme="minorEastAsia"/>
                <w:kern w:val="2"/>
                <w:sz w:val="21"/>
                <w:szCs w:val="21"/>
                <w:highlight w:val="none"/>
                <w:lang w:val="en-US" w:eastAsia="zh-CN" w:bidi="ar-SA"/>
              </w:rPr>
              <w:t>秘书学</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100.00%</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5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25</w:t>
            </w:r>
          </w:p>
        </w:tc>
        <w:tc>
          <w:tcPr>
            <w:tcW w:w="3920" w:type="dxa"/>
            <w:gridSpan w:val="2"/>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总和</w:t>
            </w:r>
          </w:p>
        </w:tc>
        <w:tc>
          <w:tcPr>
            <w:tcW w:w="118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2300</w:t>
            </w:r>
          </w:p>
        </w:tc>
        <w:tc>
          <w:tcPr>
            <w:tcW w:w="138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2200</w:t>
            </w:r>
          </w:p>
        </w:tc>
        <w:tc>
          <w:tcPr>
            <w:tcW w:w="16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18"/>
                <w:szCs w:val="18"/>
                <w:highlight w:val="none"/>
                <w:lang w:val="en-US" w:eastAsia="zh-CN" w:bidi="ar-SA"/>
              </w:rPr>
            </w:pPr>
            <w:r>
              <w:rPr>
                <w:rFonts w:hint="default" w:ascii="Times New Roman" w:hAnsi="Times New Roman" w:cs="Times New Roman" w:eastAsiaTheme="minorEastAsia"/>
                <w:kern w:val="2"/>
                <w:sz w:val="18"/>
                <w:szCs w:val="18"/>
                <w:highlight w:val="none"/>
                <w:lang w:val="en-US" w:eastAsia="zh-CN" w:bidi="ar-SA"/>
              </w:rPr>
              <w:t>95.65%</w:t>
            </w:r>
          </w:p>
        </w:tc>
      </w:tr>
    </w:tbl>
    <w:p>
      <w:pPr>
        <w:pStyle w:val="4"/>
        <w:keepNext w:val="0"/>
        <w:keepLines w:val="0"/>
        <w:pageBreakBefore w:val="0"/>
        <w:widowControl w:val="0"/>
        <w:kinsoku/>
        <w:wordWrap/>
        <w:overflowPunct/>
        <w:topLinePunct w:val="0"/>
        <w:autoSpaceDE w:val="0"/>
        <w:autoSpaceDN w:val="0"/>
        <w:bidi w:val="0"/>
        <w:adjustRightInd/>
        <w:snapToGrid/>
        <w:spacing w:line="400" w:lineRule="exact"/>
        <w:ind w:left="0" w:leftChars="0" w:firstLine="480" w:firstLineChars="200"/>
        <w:jc w:val="both"/>
        <w:textAlignment w:val="auto"/>
        <w:rPr>
          <w:rFonts w:hint="default" w:ascii="Times New Roman" w:hAnsi="Times New Roman" w:eastAsiaTheme="minorEastAsia" w:cstheme="minorEastAsia"/>
          <w:color w:val="171A1D"/>
          <w:shd w:val="clear" w:color="auto" w:fill="FFFFFF"/>
        </w:rPr>
      </w:pPr>
    </w:p>
    <w:p>
      <w:pPr>
        <w:tabs>
          <w:tab w:val="left" w:pos="3445"/>
        </w:tabs>
        <w:spacing w:before="121" w:after="22"/>
        <w:ind w:left="2867"/>
        <w:rPr>
          <w:rFonts w:hint="eastAsia" w:ascii="Times New Roman" w:hAnsi="Times New Roman" w:eastAsiaTheme="majorEastAsia"/>
          <w:b/>
          <w:bCs/>
          <w:sz w:val="21"/>
        </w:rPr>
      </w:pPr>
      <w:r>
        <w:rPr>
          <w:rFonts w:hint="default" w:ascii="Times New Roman" w:hAnsi="Times New Roman" w:eastAsia="宋体" w:cs="Times New Roman"/>
          <w:b w:val="0"/>
          <w:bCs w:val="0"/>
          <w:color w:val="auto"/>
          <w:sz w:val="21"/>
          <w:szCs w:val="21"/>
          <w:lang w:val="en-US" w:eastAsia="zh-CN"/>
        </w:rPr>
        <w:t>表</w:t>
      </w:r>
      <w:r>
        <w:rPr>
          <w:rFonts w:hint="eastAsia" w:ascii="Times New Roman" w:hAnsi="Times New Roman" w:cs="Times New Roman"/>
          <w:b w:val="0"/>
          <w:bCs w:val="0"/>
          <w:color w:val="auto"/>
          <w:sz w:val="21"/>
          <w:szCs w:val="21"/>
          <w:lang w:val="en-US" w:eastAsia="zh-CN"/>
        </w:rPr>
        <w:t>9</w:t>
      </w:r>
      <w:r>
        <w:rPr>
          <w:rFonts w:hint="default" w:ascii="Times New Roman" w:hAnsi="Times New Roman" w:eastAsia="宋体" w:cs="Times New Roman"/>
          <w:b w:val="0"/>
          <w:bCs w:val="0"/>
          <w:color w:val="auto"/>
          <w:sz w:val="21"/>
          <w:szCs w:val="21"/>
          <w:lang w:val="en-US" w:eastAsia="zh-CN"/>
        </w:rPr>
        <w:tab/>
      </w:r>
      <w:r>
        <w:rPr>
          <w:rFonts w:hint="default" w:ascii="Times New Roman" w:hAnsi="Times New Roman" w:cs="Times New Roman"/>
          <w:b w:val="0"/>
          <w:bCs w:val="0"/>
          <w:color w:val="auto"/>
          <w:sz w:val="21"/>
          <w:szCs w:val="21"/>
          <w:lang w:val="en-US" w:eastAsia="zh-CN"/>
        </w:rPr>
        <w:t>2024</w:t>
      </w:r>
      <w:r>
        <w:rPr>
          <w:rFonts w:hint="default" w:ascii="Times New Roman" w:hAnsi="Times New Roman" w:eastAsia="宋体" w:cs="Times New Roman"/>
          <w:b w:val="0"/>
          <w:bCs w:val="0"/>
          <w:color w:val="auto"/>
          <w:sz w:val="21"/>
          <w:szCs w:val="21"/>
          <w:lang w:val="en-US" w:eastAsia="zh-CN"/>
        </w:rPr>
        <w:t>届本科毕业生就业去向情况表</w:t>
      </w:r>
    </w:p>
    <w:tbl>
      <w:tblPr>
        <w:tblStyle w:val="22"/>
        <w:tblW w:w="8736" w:type="dxa"/>
        <w:tblInd w:w="-18"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3511"/>
        <w:gridCol w:w="2389"/>
        <w:gridCol w:w="2836"/>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54" w:hRule="atLeast"/>
          <w:tblHeader/>
        </w:trPr>
        <w:tc>
          <w:tcPr>
            <w:tcW w:w="3511" w:type="dxa"/>
            <w:tcBorders>
              <w:bottom w:val="single" w:color="000000" w:sz="4" w:space="0"/>
              <w:right w:val="single" w:color="000000" w:sz="4" w:space="0"/>
            </w:tcBorders>
            <w:vAlign w:val="top"/>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就业去向</w:t>
            </w:r>
          </w:p>
        </w:tc>
        <w:tc>
          <w:tcPr>
            <w:tcW w:w="2389" w:type="dxa"/>
            <w:tcBorders>
              <w:left w:val="single" w:color="000000" w:sz="4" w:space="0"/>
              <w:bottom w:val="single" w:color="000000" w:sz="4" w:space="0"/>
              <w:right w:val="single" w:color="000000" w:sz="4" w:space="0"/>
            </w:tcBorders>
            <w:vAlign w:val="top"/>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人数</w:t>
            </w:r>
          </w:p>
        </w:tc>
        <w:tc>
          <w:tcPr>
            <w:tcW w:w="2836" w:type="dxa"/>
            <w:tcBorders>
              <w:left w:val="single" w:color="000000" w:sz="4" w:space="0"/>
              <w:bottom w:val="single" w:color="000000" w:sz="4" w:space="0"/>
            </w:tcBorders>
            <w:vAlign w:val="top"/>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比例</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77" w:hRule="atLeast"/>
        </w:trPr>
        <w:tc>
          <w:tcPr>
            <w:tcW w:w="3511" w:type="dxa"/>
            <w:tcBorders>
              <w:top w:val="single" w:color="000000" w:sz="4" w:space="0"/>
              <w:bottom w:val="single" w:color="000000" w:sz="4" w:space="0"/>
              <w:right w:val="single" w:color="000000" w:sz="4" w:space="0"/>
            </w:tcBorders>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国有、三资及其他企业</w:t>
            </w:r>
          </w:p>
        </w:tc>
        <w:tc>
          <w:tcPr>
            <w:tcW w:w="2389" w:type="dxa"/>
            <w:tcBorders>
              <w:top w:val="single" w:color="000000" w:sz="4" w:space="0"/>
              <w:left w:val="single" w:color="000000" w:sz="4" w:space="0"/>
              <w:bottom w:val="single" w:color="000000" w:sz="4" w:space="0"/>
              <w:right w:val="single" w:color="000000" w:sz="4" w:space="0"/>
            </w:tcBorders>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1615</w:t>
            </w:r>
          </w:p>
        </w:tc>
        <w:tc>
          <w:tcPr>
            <w:tcW w:w="2836" w:type="dxa"/>
            <w:tcBorders>
              <w:top w:val="single" w:color="000000" w:sz="4" w:space="0"/>
              <w:left w:val="single" w:color="000000" w:sz="4" w:space="0"/>
              <w:bottom w:val="single" w:color="000000" w:sz="4" w:space="0"/>
            </w:tcBorders>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70.22%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62" w:hRule="atLeast"/>
        </w:trPr>
        <w:tc>
          <w:tcPr>
            <w:tcW w:w="3511" w:type="dxa"/>
            <w:tcBorders>
              <w:top w:val="single" w:color="000000" w:sz="4" w:space="0"/>
              <w:bottom w:val="single" w:color="000000" w:sz="4" w:space="0"/>
              <w:right w:val="single" w:color="000000" w:sz="4" w:space="0"/>
            </w:tcBorders>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出国、国内考研</w:t>
            </w:r>
          </w:p>
        </w:tc>
        <w:tc>
          <w:tcPr>
            <w:tcW w:w="2389" w:type="dxa"/>
            <w:tcBorders>
              <w:top w:val="single" w:color="000000" w:sz="4" w:space="0"/>
              <w:left w:val="single" w:color="000000" w:sz="4" w:space="0"/>
              <w:bottom w:val="single" w:color="000000" w:sz="4" w:space="0"/>
              <w:right w:val="single" w:color="000000" w:sz="4" w:space="0"/>
            </w:tcBorders>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227</w:t>
            </w:r>
          </w:p>
        </w:tc>
        <w:tc>
          <w:tcPr>
            <w:tcW w:w="2836" w:type="dxa"/>
            <w:tcBorders>
              <w:top w:val="single" w:color="000000" w:sz="4" w:space="0"/>
              <w:left w:val="single" w:color="000000" w:sz="4" w:space="0"/>
              <w:bottom w:val="single" w:color="000000" w:sz="4" w:space="0"/>
            </w:tcBorders>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9.87%</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20" w:hRule="atLeast"/>
        </w:trPr>
        <w:tc>
          <w:tcPr>
            <w:tcW w:w="3511" w:type="dxa"/>
            <w:tcBorders>
              <w:top w:val="single" w:color="000000" w:sz="4" w:space="0"/>
              <w:bottom w:val="single" w:color="000000" w:sz="4" w:space="0"/>
              <w:right w:val="single" w:color="000000" w:sz="4"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医疗卫生单位</w:t>
            </w:r>
          </w:p>
        </w:tc>
        <w:tc>
          <w:tcPr>
            <w:tcW w:w="2389" w:type="dxa"/>
            <w:tcBorders>
              <w:top w:val="single" w:color="000000" w:sz="4" w:space="0"/>
              <w:left w:val="single" w:color="000000" w:sz="4" w:space="0"/>
              <w:bottom w:val="single" w:color="000000" w:sz="4" w:space="0"/>
              <w:right w:val="single" w:color="000000" w:sz="4" w:space="0"/>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147</w:t>
            </w:r>
          </w:p>
        </w:tc>
        <w:tc>
          <w:tcPr>
            <w:tcW w:w="2836" w:type="dxa"/>
            <w:tcBorders>
              <w:top w:val="single" w:color="000000" w:sz="4" w:space="0"/>
              <w:left w:val="single" w:color="000000" w:sz="4" w:space="0"/>
              <w:bottom w:val="single" w:color="000000" w:sz="4" w:space="0"/>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6.39%</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07" w:hRule="atLeast"/>
        </w:trPr>
        <w:tc>
          <w:tcPr>
            <w:tcW w:w="3511" w:type="dxa"/>
            <w:tcBorders>
              <w:top w:val="single" w:color="000000" w:sz="4" w:space="0"/>
              <w:bottom w:val="single" w:color="000000" w:sz="4" w:space="0"/>
              <w:right w:val="single" w:color="000000" w:sz="4" w:space="0"/>
            </w:tcBorders>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其他</w:t>
            </w:r>
          </w:p>
        </w:tc>
        <w:tc>
          <w:tcPr>
            <w:tcW w:w="2389" w:type="dxa"/>
            <w:tcBorders>
              <w:top w:val="single" w:color="000000" w:sz="4" w:space="0"/>
              <w:left w:val="single" w:color="000000" w:sz="4" w:space="0"/>
              <w:bottom w:val="single" w:color="000000" w:sz="4" w:space="0"/>
              <w:right w:val="single" w:color="000000" w:sz="4" w:space="0"/>
            </w:tcBorders>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108</w:t>
            </w:r>
          </w:p>
        </w:tc>
        <w:tc>
          <w:tcPr>
            <w:tcW w:w="2836" w:type="dxa"/>
            <w:tcBorders>
              <w:top w:val="single" w:color="000000" w:sz="4" w:space="0"/>
              <w:left w:val="single" w:color="000000" w:sz="4" w:space="0"/>
              <w:bottom w:val="single" w:color="000000" w:sz="4" w:space="0"/>
            </w:tcBorders>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4.70%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21" w:hRule="atLeast"/>
        </w:trPr>
        <w:tc>
          <w:tcPr>
            <w:tcW w:w="3511" w:type="dxa"/>
            <w:tcBorders>
              <w:top w:val="single" w:color="000000" w:sz="4" w:space="0"/>
              <w:bottom w:val="single" w:color="000000" w:sz="4" w:space="0"/>
              <w:right w:val="single" w:color="000000" w:sz="4" w:space="0"/>
            </w:tcBorders>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高、中、初等教育单位</w:t>
            </w:r>
          </w:p>
        </w:tc>
        <w:tc>
          <w:tcPr>
            <w:tcW w:w="2389" w:type="dxa"/>
            <w:tcBorders>
              <w:top w:val="single" w:color="000000" w:sz="4" w:space="0"/>
              <w:left w:val="single" w:color="000000" w:sz="4" w:space="0"/>
              <w:bottom w:val="single" w:color="000000" w:sz="4" w:space="0"/>
              <w:right w:val="single" w:color="000000" w:sz="4" w:space="0"/>
            </w:tcBorders>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43</w:t>
            </w:r>
          </w:p>
        </w:tc>
        <w:tc>
          <w:tcPr>
            <w:tcW w:w="2836" w:type="dxa"/>
            <w:tcBorders>
              <w:top w:val="single" w:color="000000" w:sz="4" w:space="0"/>
              <w:left w:val="single" w:color="000000" w:sz="4" w:space="0"/>
              <w:bottom w:val="single" w:color="000000" w:sz="4" w:space="0"/>
            </w:tcBorders>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1.87%</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92" w:hRule="atLeast"/>
        </w:trPr>
        <w:tc>
          <w:tcPr>
            <w:tcW w:w="3511" w:type="dxa"/>
            <w:tcBorders>
              <w:top w:val="single" w:color="000000" w:sz="4" w:space="0"/>
              <w:bottom w:val="single" w:color="000000" w:sz="4" w:space="0"/>
              <w:right w:val="single" w:color="000000" w:sz="4" w:space="0"/>
            </w:tcBorders>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创业</w:t>
            </w:r>
          </w:p>
        </w:tc>
        <w:tc>
          <w:tcPr>
            <w:tcW w:w="2389" w:type="dxa"/>
            <w:tcBorders>
              <w:top w:val="single" w:color="000000" w:sz="4" w:space="0"/>
              <w:left w:val="single" w:color="000000" w:sz="4" w:space="0"/>
              <w:bottom w:val="single" w:color="000000" w:sz="4" w:space="0"/>
              <w:right w:val="single" w:color="000000" w:sz="4" w:space="0"/>
            </w:tcBorders>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32</w:t>
            </w:r>
          </w:p>
        </w:tc>
        <w:tc>
          <w:tcPr>
            <w:tcW w:w="2836" w:type="dxa"/>
            <w:tcBorders>
              <w:top w:val="single" w:color="000000" w:sz="4" w:space="0"/>
              <w:left w:val="single" w:color="000000" w:sz="4" w:space="0"/>
              <w:bottom w:val="single" w:color="000000" w:sz="4" w:space="0"/>
            </w:tcBorders>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1.39%</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11" w:hRule="atLeast"/>
        </w:trPr>
        <w:tc>
          <w:tcPr>
            <w:tcW w:w="3511" w:type="dxa"/>
            <w:tcBorders>
              <w:top w:val="single" w:color="000000" w:sz="4" w:space="0"/>
              <w:bottom w:val="single" w:color="000000" w:sz="4" w:space="0"/>
              <w:right w:val="single" w:color="000000" w:sz="4" w:space="0"/>
            </w:tcBorders>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机关、其他事业单位</w:t>
            </w:r>
          </w:p>
        </w:tc>
        <w:tc>
          <w:tcPr>
            <w:tcW w:w="2389" w:type="dxa"/>
            <w:tcBorders>
              <w:top w:val="single" w:color="000000" w:sz="4" w:space="0"/>
              <w:left w:val="single" w:color="000000" w:sz="4" w:space="0"/>
              <w:bottom w:val="single" w:color="000000" w:sz="4" w:space="0"/>
              <w:right w:val="single" w:color="000000" w:sz="4" w:space="0"/>
            </w:tcBorders>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24</w:t>
            </w:r>
          </w:p>
        </w:tc>
        <w:tc>
          <w:tcPr>
            <w:tcW w:w="2836" w:type="dxa"/>
            <w:tcBorders>
              <w:top w:val="single" w:color="000000" w:sz="4" w:space="0"/>
              <w:left w:val="single" w:color="000000" w:sz="4" w:space="0"/>
              <w:bottom w:val="single" w:color="000000" w:sz="4" w:space="0"/>
            </w:tcBorders>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1.04%</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11" w:hRule="atLeast"/>
        </w:trPr>
        <w:tc>
          <w:tcPr>
            <w:tcW w:w="3511" w:type="dxa"/>
            <w:tcBorders>
              <w:top w:val="single" w:color="000000" w:sz="4" w:space="0"/>
              <w:right w:val="single" w:color="000000" w:sz="4" w:space="0"/>
            </w:tcBorders>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default" w:asciiTheme="minorEastAsia" w:hAnsiTheme="minorEastAsia" w:eastAsiaTheme="minorEastAsia" w:cstheme="minorEastAsia"/>
                <w:kern w:val="2"/>
                <w:sz w:val="21"/>
                <w:szCs w:val="21"/>
                <w:highlight w:val="none"/>
                <w:lang w:val="en-US" w:eastAsia="zh-CN" w:bidi="ar-SA"/>
              </w:rPr>
              <w:t>应征义务兵</w:t>
            </w:r>
          </w:p>
        </w:tc>
        <w:tc>
          <w:tcPr>
            <w:tcW w:w="2389" w:type="dxa"/>
            <w:tcBorders>
              <w:top w:val="single" w:color="000000" w:sz="4" w:space="0"/>
              <w:left w:val="single" w:color="000000" w:sz="4" w:space="0"/>
              <w:right w:val="single" w:color="000000" w:sz="4" w:space="0"/>
            </w:tcBorders>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4</w:t>
            </w:r>
          </w:p>
        </w:tc>
        <w:tc>
          <w:tcPr>
            <w:tcW w:w="2836" w:type="dxa"/>
            <w:tcBorders>
              <w:top w:val="single" w:color="000000" w:sz="4" w:space="0"/>
              <w:left w:val="single" w:color="000000" w:sz="4" w:space="0"/>
            </w:tcBorders>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0.17%</w:t>
            </w:r>
          </w:p>
        </w:tc>
      </w:tr>
    </w:tbl>
    <w:p>
      <w:pPr>
        <w:keepNext w:val="0"/>
        <w:keepLines w:val="0"/>
        <w:pageBreakBefore w:val="0"/>
        <w:widowControl w:val="0"/>
        <w:kinsoku/>
        <w:wordWrap/>
        <w:overflowPunct/>
        <w:topLinePunct w:val="0"/>
        <w:autoSpaceDE/>
        <w:autoSpaceDN/>
        <w:bidi w:val="0"/>
        <w:adjustRightInd/>
        <w:snapToGrid/>
        <w:spacing w:line="400" w:lineRule="exact"/>
        <w:textAlignment w:val="auto"/>
        <w:outlineLvl w:val="1"/>
        <w:rPr>
          <w:rFonts w:hint="eastAsia" w:ascii="黑体" w:hAnsi="黑体" w:eastAsia="黑体" w:cs="黑体"/>
          <w:b w:val="0"/>
          <w:bCs w:val="0"/>
          <w:color w:val="auto"/>
          <w:kern w:val="2"/>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1"/>
        <w:rPr>
          <w:rFonts w:hint="eastAsia" w:ascii="黑体" w:hAnsi="黑体" w:eastAsia="黑体" w:cs="黑体"/>
          <w:b w:val="0"/>
          <w:bCs w:val="0"/>
          <w:color w:val="auto"/>
          <w:kern w:val="2"/>
          <w:sz w:val="28"/>
          <w:szCs w:val="28"/>
          <w:lang w:val="en-US" w:eastAsia="zh-CN" w:bidi="ar-SA"/>
        </w:rPr>
      </w:pPr>
      <w:bookmarkStart w:id="63" w:name="_Toc12173"/>
      <w:r>
        <w:rPr>
          <w:rFonts w:hint="eastAsia" w:ascii="黑体" w:hAnsi="黑体" w:eastAsia="黑体" w:cs="黑体"/>
          <w:b w:val="0"/>
          <w:bCs w:val="0"/>
          <w:color w:val="auto"/>
          <w:kern w:val="2"/>
          <w:sz w:val="28"/>
          <w:szCs w:val="28"/>
          <w:lang w:val="en-US" w:eastAsia="zh-CN" w:bidi="ar-SA"/>
        </w:rPr>
        <w:t>（三）毕业生跟踪调查情况</w:t>
      </w:r>
      <w:bookmarkEnd w:id="63"/>
      <w:r>
        <w:rPr>
          <w:rFonts w:hint="eastAsia" w:ascii="黑体" w:hAnsi="黑体" w:eastAsia="黑体" w:cs="黑体"/>
          <w:b w:val="0"/>
          <w:bCs w:val="0"/>
          <w:color w:val="auto"/>
          <w:kern w:val="2"/>
          <w:sz w:val="28"/>
          <w:szCs w:val="28"/>
          <w:lang w:val="en-US" w:eastAsia="zh-CN" w:bidi="ar-SA"/>
        </w:rPr>
        <w:tab/>
      </w:r>
    </w:p>
    <w:p>
      <w:pPr>
        <w:pStyle w:val="4"/>
        <w:keepNext w:val="0"/>
        <w:keepLines w:val="0"/>
        <w:pageBreakBefore w:val="0"/>
        <w:widowControl w:val="0"/>
        <w:kinsoku/>
        <w:wordWrap/>
        <w:overflowPunct/>
        <w:topLinePunct w:val="0"/>
        <w:autoSpaceDE w:val="0"/>
        <w:autoSpaceDN w:val="0"/>
        <w:bidi w:val="0"/>
        <w:adjustRightInd/>
        <w:snapToGrid/>
        <w:spacing w:line="400" w:lineRule="exact"/>
        <w:ind w:left="0" w:leftChars="0" w:firstLine="480" w:firstLineChars="200"/>
        <w:jc w:val="both"/>
        <w:textAlignment w:val="auto"/>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2022届毕业生毕业一年后就业率为91.60%（全省平均值92.54%），2020届毕业生毕业三年后的就业率为94.30%（全省平均值94.48%）。</w:t>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1"/>
        <w:rPr>
          <w:rFonts w:hint="eastAsia" w:ascii="黑体" w:hAnsi="黑体" w:eastAsia="黑体" w:cs="黑体"/>
          <w:b w:val="0"/>
          <w:bCs w:val="0"/>
          <w:color w:val="auto"/>
          <w:kern w:val="2"/>
          <w:sz w:val="28"/>
          <w:szCs w:val="28"/>
          <w:lang w:val="en-US" w:eastAsia="zh-CN" w:bidi="ar-SA"/>
        </w:rPr>
      </w:pPr>
      <w:bookmarkStart w:id="64" w:name="_Toc6810"/>
      <w:r>
        <w:rPr>
          <w:rFonts w:hint="eastAsia" w:ascii="黑体" w:hAnsi="黑体" w:eastAsia="黑体" w:cs="黑体"/>
          <w:b w:val="0"/>
          <w:bCs w:val="0"/>
          <w:color w:val="auto"/>
          <w:kern w:val="2"/>
          <w:sz w:val="28"/>
          <w:szCs w:val="28"/>
          <w:lang w:val="en-US" w:eastAsia="zh-CN" w:bidi="ar-SA"/>
        </w:rPr>
        <w:t>（四）毕业生对母校的满意度</w:t>
      </w:r>
      <w:bookmarkEnd w:id="64"/>
      <w:r>
        <w:rPr>
          <w:rFonts w:hint="eastAsia" w:ascii="黑体" w:hAnsi="黑体" w:eastAsia="黑体" w:cs="黑体"/>
          <w:b w:val="0"/>
          <w:bCs w:val="0"/>
          <w:color w:val="auto"/>
          <w:kern w:val="2"/>
          <w:sz w:val="28"/>
          <w:szCs w:val="28"/>
          <w:lang w:val="en-US" w:eastAsia="zh-CN" w:bidi="ar-SA"/>
        </w:rPr>
        <w:tab/>
      </w:r>
    </w:p>
    <w:p>
      <w:pPr>
        <w:pStyle w:val="17"/>
        <w:numPr>
          <w:ilvl w:val="0"/>
          <w:numId w:val="0"/>
        </w:numPr>
        <w:tabs>
          <w:tab w:val="left" w:pos="581"/>
        </w:tabs>
        <w:ind w:leftChars="0"/>
        <w:outlineLvl w:val="2"/>
        <w:rPr>
          <w:rFonts w:hint="eastAsia" w:ascii="Times New Roman" w:hAnsi="Times New Roman" w:eastAsia="黑体"/>
          <w:sz w:val="24"/>
          <w:lang w:val="en-US" w:eastAsia="zh-CN"/>
        </w:rPr>
      </w:pPr>
      <w:r>
        <w:rPr>
          <w:rFonts w:hint="eastAsia" w:ascii="Times New Roman" w:hAnsi="Times New Roman" w:eastAsia="黑体"/>
          <w:sz w:val="24"/>
          <w:lang w:val="en-US" w:eastAsia="zh-CN"/>
        </w:rPr>
        <w:t>1.毕业生对母校的总体满意度</w:t>
      </w:r>
    </w:p>
    <w:p>
      <w:pPr>
        <w:pStyle w:val="4"/>
        <w:keepNext w:val="0"/>
        <w:keepLines w:val="0"/>
        <w:pageBreakBefore w:val="0"/>
        <w:widowControl w:val="0"/>
        <w:kinsoku/>
        <w:wordWrap/>
        <w:overflowPunct/>
        <w:topLinePunct w:val="0"/>
        <w:autoSpaceDE w:val="0"/>
        <w:autoSpaceDN w:val="0"/>
        <w:bidi w:val="0"/>
        <w:adjustRightInd/>
        <w:snapToGrid/>
        <w:spacing w:line="400" w:lineRule="exact"/>
        <w:ind w:left="0" w:leftChars="0" w:firstLine="480" w:firstLineChars="200"/>
        <w:jc w:val="both"/>
        <w:textAlignment w:val="auto"/>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根据浙江省教育考试院发布的2022届（毕业一年后）和2020届（毕业三年后）高校毕业生职业发展状况及人才培养质量调查报告显示，我校2022届毕业生（毕业一年后）对母校总体满意度得分为88.33；2020届毕业生（毕业三年后）对母校总体满意度为86.53。</w:t>
      </w:r>
    </w:p>
    <w:p>
      <w:pPr>
        <w:pStyle w:val="17"/>
        <w:numPr>
          <w:ilvl w:val="0"/>
          <w:numId w:val="0"/>
        </w:numPr>
        <w:tabs>
          <w:tab w:val="left" w:pos="581"/>
        </w:tabs>
        <w:spacing w:before="135"/>
        <w:ind w:leftChars="0"/>
        <w:outlineLvl w:val="2"/>
        <w:rPr>
          <w:rFonts w:hint="eastAsia" w:ascii="Times New Roman" w:hAnsi="Times New Roman" w:eastAsia="黑体"/>
          <w:sz w:val="24"/>
        </w:rPr>
      </w:pPr>
      <w:r>
        <w:rPr>
          <w:rFonts w:hint="eastAsia" w:ascii="Times New Roman" w:hAnsi="Times New Roman" w:eastAsia="黑体"/>
          <w:sz w:val="24"/>
          <w:lang w:val="en-US" w:eastAsia="zh-CN"/>
        </w:rPr>
        <w:t>2.</w:t>
      </w:r>
      <w:r>
        <w:rPr>
          <w:rFonts w:ascii="Times New Roman" w:hAnsi="Times New Roman" w:eastAsia="黑体"/>
          <w:sz w:val="24"/>
        </w:rPr>
        <w:t>毕业生对母校各分项的满意度</w:t>
      </w:r>
    </w:p>
    <w:p>
      <w:pPr>
        <w:tabs>
          <w:tab w:val="left" w:pos="3445"/>
        </w:tabs>
        <w:spacing w:before="121" w:after="22"/>
        <w:jc w:val="center"/>
        <w:rPr>
          <w:rFonts w:hint="eastAsia"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表</w:t>
      </w:r>
      <w:r>
        <w:rPr>
          <w:rFonts w:hint="eastAsia" w:ascii="Times New Roman" w:hAnsi="Times New Roman" w:eastAsia="宋体" w:cs="Times New Roman"/>
          <w:b w:val="0"/>
          <w:bCs w:val="0"/>
          <w:color w:val="auto"/>
          <w:sz w:val="21"/>
          <w:szCs w:val="21"/>
          <w:lang w:val="en-US" w:eastAsia="zh-CN"/>
        </w:rPr>
        <w:t>1</w:t>
      </w:r>
      <w:r>
        <w:rPr>
          <w:rFonts w:hint="eastAsia" w:ascii="Times New Roman" w:hAnsi="Times New Roman" w:cs="Times New Roman"/>
          <w:b w:val="0"/>
          <w:bCs w:val="0"/>
          <w:color w:val="auto"/>
          <w:sz w:val="21"/>
          <w:szCs w:val="21"/>
          <w:lang w:val="en-US" w:eastAsia="zh-CN"/>
        </w:rPr>
        <w:t xml:space="preserve">0  </w:t>
      </w:r>
      <w:r>
        <w:rPr>
          <w:rFonts w:hint="default" w:ascii="Times New Roman" w:hAnsi="Times New Roman" w:eastAsia="宋体" w:cs="Times New Roman"/>
          <w:b w:val="0"/>
          <w:bCs w:val="0"/>
          <w:color w:val="auto"/>
          <w:sz w:val="21"/>
          <w:szCs w:val="21"/>
          <w:lang w:val="en-US" w:eastAsia="zh-CN"/>
        </w:rPr>
        <w:t>202</w:t>
      </w:r>
      <w:r>
        <w:rPr>
          <w:rFonts w:hint="eastAsia" w:ascii="Times New Roman" w:hAnsi="Times New Roman" w:eastAsia="宋体" w:cs="Times New Roman"/>
          <w:b w:val="0"/>
          <w:bCs w:val="0"/>
          <w:color w:val="auto"/>
          <w:sz w:val="21"/>
          <w:szCs w:val="21"/>
          <w:lang w:val="en-US" w:eastAsia="zh-CN"/>
        </w:rPr>
        <w:t>2</w:t>
      </w:r>
      <w:r>
        <w:rPr>
          <w:rFonts w:hint="default" w:ascii="Times New Roman" w:hAnsi="Times New Roman" w:eastAsia="宋体" w:cs="Times New Roman"/>
          <w:b w:val="0"/>
          <w:bCs w:val="0"/>
          <w:color w:val="auto"/>
          <w:sz w:val="21"/>
          <w:szCs w:val="21"/>
          <w:lang w:val="en-US" w:eastAsia="zh-CN"/>
        </w:rPr>
        <w:t>届毕业生（毕业一年后）满意度与202</w:t>
      </w:r>
      <w:r>
        <w:rPr>
          <w:rFonts w:hint="eastAsia" w:ascii="Times New Roman" w:hAnsi="Times New Roman" w:eastAsia="宋体" w:cs="Times New Roman"/>
          <w:b w:val="0"/>
          <w:bCs w:val="0"/>
          <w:color w:val="auto"/>
          <w:sz w:val="21"/>
          <w:szCs w:val="21"/>
          <w:lang w:val="en-US" w:eastAsia="zh-CN"/>
        </w:rPr>
        <w:t>1</w:t>
      </w:r>
      <w:r>
        <w:rPr>
          <w:rFonts w:hint="default" w:ascii="Times New Roman" w:hAnsi="Times New Roman" w:eastAsia="宋体" w:cs="Times New Roman"/>
          <w:b w:val="0"/>
          <w:bCs w:val="0"/>
          <w:color w:val="auto"/>
          <w:sz w:val="21"/>
          <w:szCs w:val="21"/>
          <w:lang w:val="en-US" w:eastAsia="zh-CN"/>
        </w:rPr>
        <w:t>届毕业生满意度比较</w:t>
      </w:r>
    </w:p>
    <w:tbl>
      <w:tblPr>
        <w:tblStyle w:val="22"/>
        <w:tblW w:w="8776" w:type="dxa"/>
        <w:jc w:val="center"/>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0" w:type="dxa"/>
          <w:left w:w="0" w:type="dxa"/>
          <w:bottom w:w="0" w:type="dxa"/>
          <w:right w:w="0" w:type="dxa"/>
        </w:tblCellMar>
      </w:tblPr>
      <w:tblGrid>
        <w:gridCol w:w="1039"/>
        <w:gridCol w:w="925"/>
        <w:gridCol w:w="1237"/>
        <w:gridCol w:w="1175"/>
        <w:gridCol w:w="1250"/>
        <w:gridCol w:w="1075"/>
        <w:gridCol w:w="1013"/>
        <w:gridCol w:w="1062"/>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665" w:hRule="atLeast"/>
          <w:jc w:val="center"/>
        </w:trPr>
        <w:tc>
          <w:tcPr>
            <w:tcW w:w="1039" w:type="dxa"/>
            <w:tcBorders>
              <w:tl2br w:val="nil"/>
              <w:tr2bl w:val="nil"/>
            </w:tcBorders>
            <w:vAlign w:val="center"/>
          </w:tcPr>
          <w:p>
            <w:pPr>
              <w:pStyle w:val="21"/>
              <w:spacing w:before="1"/>
              <w:rPr>
                <w:rFonts w:hint="eastAsia" w:ascii="Times New Roman" w:hAnsi="Times New Roman"/>
                <w:b w:val="0"/>
                <w:bCs w:val="0"/>
                <w:sz w:val="21"/>
              </w:rPr>
            </w:pPr>
            <w:r>
              <w:rPr>
                <w:rFonts w:ascii="Times New Roman" w:hAnsi="Times New Roman"/>
                <w:b w:val="0"/>
                <w:bCs w:val="0"/>
                <w:sz w:val="21"/>
              </w:rPr>
              <w:t>类别</w:t>
            </w:r>
          </w:p>
        </w:tc>
        <w:tc>
          <w:tcPr>
            <w:tcW w:w="925" w:type="dxa"/>
            <w:tcBorders>
              <w:tl2br w:val="nil"/>
              <w:tr2bl w:val="nil"/>
            </w:tcBorders>
            <w:vAlign w:val="center"/>
          </w:tcPr>
          <w:p>
            <w:pPr>
              <w:pStyle w:val="21"/>
              <w:spacing w:before="1" w:line="312" w:lineRule="exact"/>
              <w:ind w:right="133"/>
              <w:jc w:val="center"/>
              <w:rPr>
                <w:rFonts w:ascii="Times New Roman" w:hAnsi="Times New Roman"/>
                <w:b w:val="0"/>
                <w:bCs w:val="0"/>
                <w:sz w:val="21"/>
              </w:rPr>
            </w:pPr>
            <w:r>
              <w:rPr>
                <w:rFonts w:ascii="Times New Roman" w:hAnsi="Times New Roman"/>
                <w:b w:val="0"/>
                <w:bCs w:val="0"/>
                <w:sz w:val="21"/>
              </w:rPr>
              <w:t>总体</w:t>
            </w:r>
          </w:p>
          <w:p>
            <w:pPr>
              <w:pStyle w:val="21"/>
              <w:spacing w:before="1" w:line="312" w:lineRule="exact"/>
              <w:ind w:right="133"/>
              <w:jc w:val="center"/>
              <w:rPr>
                <w:rFonts w:hint="eastAsia" w:ascii="Times New Roman" w:hAnsi="Times New Roman"/>
                <w:b w:val="0"/>
                <w:bCs w:val="0"/>
                <w:sz w:val="21"/>
              </w:rPr>
            </w:pPr>
            <w:r>
              <w:rPr>
                <w:rFonts w:ascii="Times New Roman" w:hAnsi="Times New Roman"/>
                <w:b w:val="0"/>
                <w:bCs w:val="0"/>
                <w:spacing w:val="-1"/>
                <w:sz w:val="21"/>
              </w:rPr>
              <w:t>满意度</w:t>
            </w:r>
          </w:p>
        </w:tc>
        <w:tc>
          <w:tcPr>
            <w:tcW w:w="1237" w:type="dxa"/>
            <w:tcBorders>
              <w:tl2br w:val="nil"/>
              <w:tr2bl w:val="nil"/>
            </w:tcBorders>
            <w:vAlign w:val="center"/>
          </w:tcPr>
          <w:p>
            <w:pPr>
              <w:pStyle w:val="21"/>
              <w:spacing w:before="1" w:line="312" w:lineRule="exact"/>
              <w:ind w:left="68" w:right="48"/>
              <w:rPr>
                <w:rFonts w:hint="eastAsia" w:ascii="Times New Roman" w:hAnsi="Times New Roman"/>
                <w:b w:val="0"/>
                <w:bCs w:val="0"/>
                <w:spacing w:val="-1"/>
                <w:sz w:val="21"/>
              </w:rPr>
            </w:pPr>
            <w:r>
              <w:rPr>
                <w:rFonts w:ascii="Times New Roman" w:hAnsi="Times New Roman"/>
                <w:b w:val="0"/>
                <w:bCs w:val="0"/>
                <w:spacing w:val="-1"/>
                <w:sz w:val="21"/>
              </w:rPr>
              <w:t>专业课程课堂教学效果</w:t>
            </w:r>
          </w:p>
        </w:tc>
        <w:tc>
          <w:tcPr>
            <w:tcW w:w="1175" w:type="dxa"/>
            <w:tcBorders>
              <w:tl2br w:val="nil"/>
              <w:tr2bl w:val="nil"/>
            </w:tcBorders>
            <w:vAlign w:val="center"/>
          </w:tcPr>
          <w:p>
            <w:pPr>
              <w:pStyle w:val="21"/>
              <w:spacing w:before="1" w:line="312" w:lineRule="exact"/>
              <w:ind w:left="68" w:right="48"/>
              <w:rPr>
                <w:rFonts w:ascii="Times New Roman" w:hAnsi="Times New Roman"/>
                <w:b w:val="0"/>
                <w:bCs w:val="0"/>
                <w:spacing w:val="-1"/>
                <w:sz w:val="21"/>
              </w:rPr>
            </w:pPr>
            <w:r>
              <w:rPr>
                <w:rFonts w:ascii="Times New Roman" w:hAnsi="Times New Roman"/>
                <w:b w:val="0"/>
                <w:bCs w:val="0"/>
                <w:spacing w:val="-1"/>
                <w:sz w:val="21"/>
              </w:rPr>
              <w:t>实践教学</w:t>
            </w:r>
          </w:p>
          <w:p>
            <w:pPr>
              <w:pStyle w:val="21"/>
              <w:spacing w:before="1" w:line="312" w:lineRule="exact"/>
              <w:ind w:left="68" w:right="48"/>
              <w:rPr>
                <w:rFonts w:hint="eastAsia" w:ascii="Times New Roman" w:hAnsi="Times New Roman"/>
                <w:b w:val="0"/>
                <w:bCs w:val="0"/>
                <w:spacing w:val="-1"/>
                <w:sz w:val="21"/>
              </w:rPr>
            </w:pPr>
            <w:r>
              <w:rPr>
                <w:rFonts w:ascii="Times New Roman" w:hAnsi="Times New Roman"/>
                <w:b w:val="0"/>
                <w:bCs w:val="0"/>
                <w:spacing w:val="-1"/>
                <w:sz w:val="21"/>
              </w:rPr>
              <w:t>效果</w:t>
            </w:r>
          </w:p>
        </w:tc>
        <w:tc>
          <w:tcPr>
            <w:tcW w:w="1250" w:type="dxa"/>
            <w:tcBorders>
              <w:tl2br w:val="nil"/>
              <w:tr2bl w:val="nil"/>
            </w:tcBorders>
            <w:vAlign w:val="center"/>
          </w:tcPr>
          <w:p>
            <w:pPr>
              <w:pStyle w:val="21"/>
              <w:spacing w:before="1" w:line="312" w:lineRule="exact"/>
              <w:ind w:left="68" w:right="48"/>
              <w:rPr>
                <w:rFonts w:hint="eastAsia" w:ascii="Times New Roman" w:hAnsi="Times New Roman"/>
                <w:b w:val="0"/>
                <w:bCs w:val="0"/>
                <w:spacing w:val="-1"/>
                <w:sz w:val="21"/>
              </w:rPr>
            </w:pPr>
            <w:r>
              <w:rPr>
                <w:rFonts w:ascii="Times New Roman" w:hAnsi="Times New Roman"/>
                <w:b w:val="0"/>
                <w:bCs w:val="0"/>
                <w:spacing w:val="-1"/>
                <w:sz w:val="21"/>
              </w:rPr>
              <w:t>教学水平</w:t>
            </w:r>
          </w:p>
        </w:tc>
        <w:tc>
          <w:tcPr>
            <w:tcW w:w="1075" w:type="dxa"/>
            <w:tcBorders>
              <w:tl2br w:val="nil"/>
              <w:tr2bl w:val="nil"/>
            </w:tcBorders>
            <w:vAlign w:val="center"/>
          </w:tcPr>
          <w:p>
            <w:pPr>
              <w:pStyle w:val="21"/>
              <w:spacing w:before="1" w:line="312" w:lineRule="exact"/>
              <w:ind w:left="68" w:right="48"/>
              <w:rPr>
                <w:rFonts w:hint="eastAsia" w:ascii="Times New Roman" w:hAnsi="Times New Roman"/>
                <w:b w:val="0"/>
                <w:bCs w:val="0"/>
                <w:spacing w:val="-1"/>
                <w:sz w:val="21"/>
              </w:rPr>
            </w:pPr>
            <w:r>
              <w:rPr>
                <w:rFonts w:hint="eastAsia" w:ascii="Times New Roman" w:hAnsi="Times New Roman"/>
                <w:b w:val="0"/>
                <w:bCs w:val="0"/>
                <w:spacing w:val="-1"/>
                <w:sz w:val="21"/>
              </w:rPr>
              <w:t>就业求职服务</w:t>
            </w:r>
          </w:p>
        </w:tc>
        <w:tc>
          <w:tcPr>
            <w:tcW w:w="1013" w:type="dxa"/>
            <w:tcBorders>
              <w:tl2br w:val="nil"/>
              <w:tr2bl w:val="nil"/>
            </w:tcBorders>
            <w:vAlign w:val="center"/>
          </w:tcPr>
          <w:p>
            <w:pPr>
              <w:pStyle w:val="21"/>
              <w:spacing w:before="1" w:line="312" w:lineRule="exact"/>
              <w:ind w:left="68" w:right="48"/>
              <w:rPr>
                <w:rFonts w:hint="eastAsia" w:ascii="Times New Roman" w:hAnsi="Times New Roman"/>
                <w:b w:val="0"/>
                <w:bCs w:val="0"/>
                <w:spacing w:val="-1"/>
                <w:sz w:val="21"/>
              </w:rPr>
            </w:pPr>
            <w:r>
              <w:rPr>
                <w:rFonts w:hint="eastAsia" w:ascii="Times New Roman" w:hAnsi="Times New Roman"/>
                <w:b w:val="0"/>
                <w:bCs w:val="0"/>
                <w:spacing w:val="-1"/>
                <w:sz w:val="21"/>
              </w:rPr>
              <w:t>思想政治教育</w:t>
            </w:r>
          </w:p>
        </w:tc>
        <w:tc>
          <w:tcPr>
            <w:tcW w:w="1062" w:type="dxa"/>
            <w:tcBorders>
              <w:tl2br w:val="nil"/>
              <w:tr2bl w:val="nil"/>
            </w:tcBorders>
            <w:vAlign w:val="center"/>
          </w:tcPr>
          <w:p>
            <w:pPr>
              <w:pStyle w:val="21"/>
              <w:spacing w:before="1" w:line="312" w:lineRule="exact"/>
              <w:ind w:left="68" w:right="48"/>
              <w:rPr>
                <w:rFonts w:hint="eastAsia" w:ascii="Times New Roman" w:hAnsi="Times New Roman"/>
                <w:b w:val="0"/>
                <w:bCs w:val="0"/>
                <w:spacing w:val="-1"/>
                <w:sz w:val="21"/>
              </w:rPr>
            </w:pPr>
            <w:r>
              <w:rPr>
                <w:rFonts w:hint="eastAsia" w:ascii="Times New Roman" w:hAnsi="Times New Roman"/>
                <w:b w:val="0"/>
                <w:bCs w:val="0"/>
                <w:spacing w:val="-1"/>
                <w:sz w:val="21"/>
              </w:rPr>
              <w:t>对母校的推荐度</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665" w:hRule="atLeast"/>
          <w:jc w:val="center"/>
        </w:trPr>
        <w:tc>
          <w:tcPr>
            <w:tcW w:w="1039" w:type="dxa"/>
            <w:tcBorders>
              <w:tl2br w:val="nil"/>
              <w:tr2bl w:val="nil"/>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2022</w:t>
            </w:r>
            <w:r>
              <w:rPr>
                <w:rFonts w:hint="eastAsia" w:asciiTheme="minorEastAsia" w:hAnsiTheme="minorEastAsia" w:eastAsiaTheme="minorEastAsia" w:cstheme="minorEastAsia"/>
                <w:kern w:val="2"/>
                <w:sz w:val="21"/>
                <w:szCs w:val="21"/>
                <w:highlight w:val="none"/>
                <w:lang w:val="en-US" w:eastAsia="zh-CN" w:bidi="ar-SA"/>
              </w:rPr>
              <w:t>届</w:t>
            </w:r>
          </w:p>
        </w:tc>
        <w:tc>
          <w:tcPr>
            <w:tcW w:w="925"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88.33</w:t>
            </w:r>
          </w:p>
        </w:tc>
        <w:tc>
          <w:tcPr>
            <w:tcW w:w="1237"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89.59</w:t>
            </w:r>
          </w:p>
        </w:tc>
        <w:tc>
          <w:tcPr>
            <w:tcW w:w="1175"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88.61</w:t>
            </w:r>
          </w:p>
        </w:tc>
        <w:tc>
          <w:tcPr>
            <w:tcW w:w="1250"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89.17</w:t>
            </w:r>
          </w:p>
        </w:tc>
        <w:tc>
          <w:tcPr>
            <w:tcW w:w="1075"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87.18</w:t>
            </w:r>
          </w:p>
        </w:tc>
        <w:tc>
          <w:tcPr>
            <w:tcW w:w="1013"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88.99</w:t>
            </w:r>
          </w:p>
        </w:tc>
        <w:tc>
          <w:tcPr>
            <w:tcW w:w="1062"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81.12</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664" w:hRule="atLeast"/>
          <w:jc w:val="center"/>
        </w:trPr>
        <w:tc>
          <w:tcPr>
            <w:tcW w:w="1039" w:type="dxa"/>
            <w:tcBorders>
              <w:tl2br w:val="nil"/>
              <w:tr2bl w:val="nil"/>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2021</w:t>
            </w:r>
            <w:r>
              <w:rPr>
                <w:rFonts w:hint="eastAsia" w:asciiTheme="minorEastAsia" w:hAnsiTheme="minorEastAsia" w:eastAsiaTheme="minorEastAsia" w:cstheme="minorEastAsia"/>
                <w:kern w:val="2"/>
                <w:sz w:val="21"/>
                <w:szCs w:val="21"/>
                <w:highlight w:val="none"/>
                <w:lang w:val="en-US" w:eastAsia="zh-CN" w:bidi="ar-SA"/>
              </w:rPr>
              <w:t>届</w:t>
            </w:r>
          </w:p>
        </w:tc>
        <w:tc>
          <w:tcPr>
            <w:tcW w:w="925"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91.19</w:t>
            </w:r>
          </w:p>
        </w:tc>
        <w:tc>
          <w:tcPr>
            <w:tcW w:w="1237"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91.17</w:t>
            </w:r>
          </w:p>
        </w:tc>
        <w:tc>
          <w:tcPr>
            <w:tcW w:w="1175"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89.96</w:t>
            </w:r>
          </w:p>
        </w:tc>
        <w:tc>
          <w:tcPr>
            <w:tcW w:w="1250"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90.45</w:t>
            </w:r>
          </w:p>
        </w:tc>
        <w:tc>
          <w:tcPr>
            <w:tcW w:w="1075"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88.15</w:t>
            </w:r>
          </w:p>
        </w:tc>
        <w:tc>
          <w:tcPr>
            <w:tcW w:w="1013"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90.51</w:t>
            </w:r>
          </w:p>
        </w:tc>
        <w:tc>
          <w:tcPr>
            <w:tcW w:w="1062"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84.34</w:t>
            </w:r>
          </w:p>
        </w:tc>
      </w:tr>
    </w:tbl>
    <w:p>
      <w:pPr>
        <w:rPr>
          <w:rFonts w:hint="eastAsia" w:ascii="Times New Roman" w:hAnsi="Times New Roman"/>
          <w:sz w:val="21"/>
        </w:rPr>
      </w:pPr>
    </w:p>
    <w:p>
      <w:pPr>
        <w:tabs>
          <w:tab w:val="left" w:pos="1027"/>
        </w:tabs>
        <w:spacing w:before="110" w:after="21"/>
        <w:ind w:left="358"/>
        <w:jc w:val="center"/>
        <w:rPr>
          <w:rFonts w:hint="eastAsia" w:ascii="Times New Roman" w:hAnsi="Times New Roman"/>
          <w:b/>
          <w:bCs/>
          <w:w w:val="95"/>
          <w:sz w:val="21"/>
        </w:rPr>
      </w:pPr>
      <w:r>
        <w:rPr>
          <w:rFonts w:ascii="Times New Roman" w:hAnsi="Times New Roman"/>
          <w:b w:val="0"/>
          <w:bCs w:val="0"/>
          <w:w w:val="95"/>
          <w:sz w:val="21"/>
        </w:rPr>
        <w:t>表</w:t>
      </w:r>
      <w:r>
        <w:rPr>
          <w:rFonts w:hint="eastAsia" w:ascii="Times New Roman" w:hAnsi="Times New Roman"/>
          <w:b w:val="0"/>
          <w:bCs w:val="0"/>
          <w:w w:val="95"/>
          <w:sz w:val="21"/>
          <w:lang w:val="en-US" w:eastAsia="zh-CN"/>
        </w:rPr>
        <w:t>11</w:t>
      </w:r>
      <w:r>
        <w:rPr>
          <w:rFonts w:ascii="Times New Roman" w:hAnsi="Times New Roman" w:eastAsia="Times New Roman"/>
          <w:b w:val="0"/>
          <w:bCs w:val="0"/>
          <w:w w:val="95"/>
          <w:sz w:val="21"/>
        </w:rPr>
        <w:tab/>
      </w:r>
      <w:r>
        <w:rPr>
          <w:rFonts w:ascii="Times New Roman" w:hAnsi="Times New Roman"/>
          <w:b w:val="0"/>
          <w:bCs w:val="0"/>
          <w:w w:val="95"/>
          <w:sz w:val="21"/>
        </w:rPr>
        <w:t>20</w:t>
      </w:r>
      <w:r>
        <w:rPr>
          <w:rFonts w:hint="eastAsia" w:ascii="Times New Roman" w:hAnsi="Times New Roman"/>
          <w:b w:val="0"/>
          <w:bCs w:val="0"/>
          <w:w w:val="95"/>
          <w:sz w:val="21"/>
        </w:rPr>
        <w:t>20</w:t>
      </w:r>
      <w:r>
        <w:rPr>
          <w:rFonts w:ascii="Times New Roman" w:hAnsi="Times New Roman"/>
          <w:b w:val="0"/>
          <w:bCs w:val="0"/>
          <w:w w:val="95"/>
          <w:sz w:val="21"/>
        </w:rPr>
        <w:t>届毕业生（毕业三年后）与20</w:t>
      </w:r>
      <w:r>
        <w:rPr>
          <w:rFonts w:hint="eastAsia" w:ascii="Times New Roman" w:hAnsi="Times New Roman"/>
          <w:b w:val="0"/>
          <w:bCs w:val="0"/>
          <w:w w:val="95"/>
          <w:sz w:val="21"/>
        </w:rPr>
        <w:t>19</w:t>
      </w:r>
      <w:r>
        <w:rPr>
          <w:rFonts w:ascii="Times New Roman" w:hAnsi="Times New Roman"/>
          <w:b w:val="0"/>
          <w:bCs w:val="0"/>
          <w:w w:val="95"/>
          <w:sz w:val="21"/>
        </w:rPr>
        <w:t>届毕业生满意度比较</w:t>
      </w:r>
    </w:p>
    <w:tbl>
      <w:tblPr>
        <w:tblStyle w:val="22"/>
        <w:tblW w:w="8764" w:type="dxa"/>
        <w:jc w:val="center"/>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0" w:type="dxa"/>
          <w:left w:w="0" w:type="dxa"/>
          <w:bottom w:w="0" w:type="dxa"/>
          <w:right w:w="0" w:type="dxa"/>
        </w:tblCellMar>
      </w:tblPr>
      <w:tblGrid>
        <w:gridCol w:w="1039"/>
        <w:gridCol w:w="1525"/>
        <w:gridCol w:w="2375"/>
        <w:gridCol w:w="1388"/>
        <w:gridCol w:w="1012"/>
        <w:gridCol w:w="1425"/>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738" w:hRule="atLeast"/>
          <w:jc w:val="center"/>
        </w:trPr>
        <w:tc>
          <w:tcPr>
            <w:tcW w:w="1039" w:type="dxa"/>
            <w:tcBorders>
              <w:tl2br w:val="nil"/>
              <w:tr2bl w:val="nil"/>
            </w:tcBorders>
            <w:vAlign w:val="center"/>
          </w:tcPr>
          <w:p>
            <w:pPr>
              <w:pStyle w:val="21"/>
              <w:spacing w:before="1"/>
              <w:rPr>
                <w:rFonts w:hint="eastAsia" w:ascii="Times New Roman" w:hAnsi="Times New Roman"/>
                <w:b w:val="0"/>
                <w:bCs w:val="0"/>
                <w:sz w:val="21"/>
              </w:rPr>
            </w:pPr>
            <w:r>
              <w:rPr>
                <w:rFonts w:ascii="Times New Roman" w:hAnsi="Times New Roman"/>
                <w:b w:val="0"/>
                <w:bCs w:val="0"/>
                <w:sz w:val="21"/>
              </w:rPr>
              <w:t>类别</w:t>
            </w:r>
          </w:p>
        </w:tc>
        <w:tc>
          <w:tcPr>
            <w:tcW w:w="1525" w:type="dxa"/>
            <w:tcBorders>
              <w:tl2br w:val="nil"/>
              <w:tr2bl w:val="nil"/>
            </w:tcBorders>
            <w:vAlign w:val="center"/>
          </w:tcPr>
          <w:p>
            <w:pPr>
              <w:pStyle w:val="21"/>
              <w:spacing w:before="1" w:line="312" w:lineRule="exact"/>
              <w:ind w:right="133" w:firstLine="210" w:firstLineChars="100"/>
              <w:rPr>
                <w:rFonts w:hint="eastAsia" w:ascii="Times New Roman" w:hAnsi="Times New Roman"/>
                <w:b w:val="0"/>
                <w:bCs w:val="0"/>
                <w:sz w:val="21"/>
              </w:rPr>
            </w:pPr>
            <w:r>
              <w:rPr>
                <w:rFonts w:ascii="Times New Roman" w:hAnsi="Times New Roman"/>
                <w:b w:val="0"/>
                <w:bCs w:val="0"/>
                <w:sz w:val="21"/>
              </w:rPr>
              <w:t>总体</w:t>
            </w:r>
            <w:r>
              <w:rPr>
                <w:rFonts w:ascii="Times New Roman" w:hAnsi="Times New Roman"/>
                <w:b w:val="0"/>
                <w:bCs w:val="0"/>
                <w:spacing w:val="-1"/>
                <w:sz w:val="21"/>
              </w:rPr>
              <w:t>满意度</w:t>
            </w:r>
          </w:p>
        </w:tc>
        <w:tc>
          <w:tcPr>
            <w:tcW w:w="2375" w:type="dxa"/>
            <w:tcBorders>
              <w:tl2br w:val="nil"/>
              <w:tr2bl w:val="nil"/>
            </w:tcBorders>
            <w:vAlign w:val="center"/>
          </w:tcPr>
          <w:p>
            <w:pPr>
              <w:pStyle w:val="21"/>
              <w:spacing w:before="1" w:line="312" w:lineRule="exact"/>
              <w:ind w:left="68" w:right="48"/>
              <w:rPr>
                <w:rFonts w:hint="eastAsia" w:ascii="Times New Roman" w:hAnsi="Times New Roman"/>
                <w:b w:val="0"/>
                <w:bCs w:val="0"/>
                <w:sz w:val="21"/>
              </w:rPr>
            </w:pPr>
            <w:r>
              <w:rPr>
                <w:rFonts w:ascii="Times New Roman" w:hAnsi="Times New Roman"/>
                <w:b w:val="0"/>
                <w:bCs w:val="0"/>
                <w:spacing w:val="-1"/>
                <w:sz w:val="21"/>
              </w:rPr>
              <w:t>专业课程课堂教学效果</w:t>
            </w:r>
          </w:p>
        </w:tc>
        <w:tc>
          <w:tcPr>
            <w:tcW w:w="1388" w:type="dxa"/>
            <w:tcBorders>
              <w:tl2br w:val="nil"/>
              <w:tr2bl w:val="nil"/>
            </w:tcBorders>
            <w:vAlign w:val="center"/>
          </w:tcPr>
          <w:p>
            <w:pPr>
              <w:pStyle w:val="21"/>
              <w:spacing w:before="1" w:line="312" w:lineRule="exact"/>
              <w:ind w:left="68" w:right="48"/>
              <w:rPr>
                <w:rFonts w:hint="eastAsia" w:ascii="Times New Roman" w:hAnsi="Times New Roman"/>
                <w:b w:val="0"/>
                <w:bCs w:val="0"/>
                <w:sz w:val="21"/>
              </w:rPr>
            </w:pPr>
            <w:r>
              <w:rPr>
                <w:rFonts w:ascii="Times New Roman" w:hAnsi="Times New Roman"/>
                <w:b w:val="0"/>
                <w:bCs w:val="0"/>
                <w:spacing w:val="-1"/>
                <w:sz w:val="21"/>
              </w:rPr>
              <w:t>实践教学效果</w:t>
            </w:r>
          </w:p>
        </w:tc>
        <w:tc>
          <w:tcPr>
            <w:tcW w:w="1012" w:type="dxa"/>
            <w:tcBorders>
              <w:tl2br w:val="nil"/>
              <w:tr2bl w:val="nil"/>
            </w:tcBorders>
            <w:vAlign w:val="center"/>
          </w:tcPr>
          <w:p>
            <w:pPr>
              <w:pStyle w:val="21"/>
              <w:spacing w:before="1" w:line="312" w:lineRule="exact"/>
              <w:ind w:left="68" w:right="48"/>
              <w:rPr>
                <w:rFonts w:hint="eastAsia" w:ascii="Times New Roman" w:hAnsi="Times New Roman"/>
                <w:b w:val="0"/>
                <w:bCs w:val="0"/>
                <w:sz w:val="21"/>
              </w:rPr>
            </w:pPr>
            <w:r>
              <w:rPr>
                <w:rFonts w:ascii="Times New Roman" w:hAnsi="Times New Roman"/>
                <w:b w:val="0"/>
                <w:bCs w:val="0"/>
                <w:spacing w:val="-1"/>
                <w:sz w:val="21"/>
              </w:rPr>
              <w:t>教学水平</w:t>
            </w:r>
          </w:p>
        </w:tc>
        <w:tc>
          <w:tcPr>
            <w:tcW w:w="1425" w:type="dxa"/>
            <w:tcBorders>
              <w:tl2br w:val="nil"/>
              <w:tr2bl w:val="nil"/>
            </w:tcBorders>
            <w:vAlign w:val="center"/>
          </w:tcPr>
          <w:p>
            <w:pPr>
              <w:pStyle w:val="21"/>
              <w:spacing w:before="1" w:line="312" w:lineRule="exact"/>
              <w:ind w:left="68" w:right="48"/>
              <w:rPr>
                <w:rFonts w:hint="eastAsia" w:ascii="Times New Roman" w:hAnsi="Times New Roman"/>
                <w:b w:val="0"/>
                <w:bCs w:val="0"/>
                <w:color w:val="FF0000"/>
                <w:sz w:val="21"/>
              </w:rPr>
            </w:pPr>
            <w:r>
              <w:rPr>
                <w:rFonts w:hint="eastAsia" w:ascii="Times New Roman" w:hAnsi="Times New Roman"/>
                <w:b w:val="0"/>
                <w:bCs w:val="0"/>
                <w:spacing w:val="-1"/>
                <w:sz w:val="21"/>
              </w:rPr>
              <w:t>就业求职服务</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682" w:hRule="atLeast"/>
          <w:jc w:val="center"/>
        </w:trPr>
        <w:tc>
          <w:tcPr>
            <w:tcW w:w="1039" w:type="dxa"/>
            <w:tcBorders>
              <w:tl2br w:val="nil"/>
              <w:tr2bl w:val="nil"/>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2020</w:t>
            </w:r>
            <w:r>
              <w:rPr>
                <w:rFonts w:hint="eastAsia" w:asciiTheme="minorEastAsia" w:hAnsiTheme="minorEastAsia" w:eastAsiaTheme="minorEastAsia" w:cstheme="minorEastAsia"/>
                <w:kern w:val="2"/>
                <w:sz w:val="21"/>
                <w:szCs w:val="21"/>
                <w:highlight w:val="none"/>
                <w:lang w:val="en-US" w:eastAsia="zh-CN" w:bidi="ar-SA"/>
              </w:rPr>
              <w:t>届</w:t>
            </w:r>
          </w:p>
        </w:tc>
        <w:tc>
          <w:tcPr>
            <w:tcW w:w="1525"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86.53</w:t>
            </w:r>
          </w:p>
        </w:tc>
        <w:tc>
          <w:tcPr>
            <w:tcW w:w="2375"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93.21</w:t>
            </w:r>
          </w:p>
        </w:tc>
        <w:tc>
          <w:tcPr>
            <w:tcW w:w="1388"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92.70</w:t>
            </w:r>
          </w:p>
        </w:tc>
        <w:tc>
          <w:tcPr>
            <w:tcW w:w="1012"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94.14</w:t>
            </w:r>
          </w:p>
        </w:tc>
        <w:tc>
          <w:tcPr>
            <w:tcW w:w="1425"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91.49</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681" w:hRule="atLeast"/>
          <w:jc w:val="center"/>
        </w:trPr>
        <w:tc>
          <w:tcPr>
            <w:tcW w:w="1039" w:type="dxa"/>
            <w:tcBorders>
              <w:tl2br w:val="nil"/>
              <w:tr2bl w:val="nil"/>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2019</w:t>
            </w:r>
            <w:r>
              <w:rPr>
                <w:rFonts w:hint="eastAsia" w:asciiTheme="minorEastAsia" w:hAnsiTheme="minorEastAsia" w:eastAsiaTheme="minorEastAsia" w:cstheme="minorEastAsia"/>
                <w:kern w:val="2"/>
                <w:sz w:val="21"/>
                <w:szCs w:val="21"/>
                <w:highlight w:val="none"/>
                <w:lang w:val="en-US" w:eastAsia="zh-CN" w:bidi="ar-SA"/>
              </w:rPr>
              <w:t>届</w:t>
            </w:r>
          </w:p>
        </w:tc>
        <w:tc>
          <w:tcPr>
            <w:tcW w:w="1525"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91.77</w:t>
            </w:r>
          </w:p>
        </w:tc>
        <w:tc>
          <w:tcPr>
            <w:tcW w:w="2375"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93.51</w:t>
            </w:r>
          </w:p>
        </w:tc>
        <w:tc>
          <w:tcPr>
            <w:tcW w:w="1388"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92.92</w:t>
            </w:r>
          </w:p>
        </w:tc>
        <w:tc>
          <w:tcPr>
            <w:tcW w:w="1012"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94.40</w:t>
            </w:r>
          </w:p>
        </w:tc>
        <w:tc>
          <w:tcPr>
            <w:tcW w:w="1425"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kern w:val="2"/>
                <w:sz w:val="21"/>
                <w:szCs w:val="21"/>
                <w:highlight w:val="none"/>
                <w:lang w:val="en-US" w:eastAsia="zh-CN" w:bidi="ar-SA"/>
              </w:rPr>
              <w:t>92.05</w:t>
            </w:r>
          </w:p>
        </w:tc>
      </w:tr>
    </w:tbl>
    <w:p>
      <w:pPr>
        <w:keepNext w:val="0"/>
        <w:keepLines w:val="0"/>
        <w:pageBreakBefore w:val="0"/>
        <w:widowControl w:val="0"/>
        <w:kinsoku/>
        <w:wordWrap/>
        <w:overflowPunct/>
        <w:topLinePunct w:val="0"/>
        <w:autoSpaceDE/>
        <w:autoSpaceDN/>
        <w:bidi w:val="0"/>
        <w:adjustRightInd/>
        <w:snapToGrid/>
        <w:spacing w:line="400" w:lineRule="exact"/>
        <w:textAlignment w:val="auto"/>
        <w:outlineLvl w:val="1"/>
        <w:rPr>
          <w:rFonts w:hint="eastAsia" w:ascii="黑体" w:hAnsi="黑体" w:eastAsia="黑体" w:cs="黑体"/>
          <w:b w:val="0"/>
          <w:bCs w:val="0"/>
          <w:color w:val="auto"/>
          <w:kern w:val="2"/>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1"/>
        <w:rPr>
          <w:rFonts w:hint="eastAsia" w:asciiTheme="minorEastAsia" w:hAnsiTheme="minorEastAsia" w:eastAsiaTheme="minorEastAsia" w:cstheme="minorEastAsia"/>
          <w:sz w:val="24"/>
          <w:szCs w:val="24"/>
        </w:rPr>
      </w:pPr>
      <w:bookmarkStart w:id="65" w:name="_Toc28001"/>
      <w:r>
        <w:rPr>
          <w:rFonts w:hint="eastAsia" w:ascii="黑体" w:hAnsi="黑体" w:eastAsia="黑体" w:cs="黑体"/>
          <w:b w:val="0"/>
          <w:bCs w:val="0"/>
          <w:color w:val="auto"/>
          <w:kern w:val="2"/>
          <w:sz w:val="28"/>
          <w:szCs w:val="28"/>
          <w:lang w:val="en-US" w:eastAsia="zh-CN" w:bidi="ar-SA"/>
        </w:rPr>
        <w:t>（五）用人单位对毕业生评价</w:t>
      </w:r>
      <w:bookmarkEnd w:id="65"/>
      <w:r>
        <w:rPr>
          <w:rFonts w:hint="eastAsia" w:asciiTheme="minorEastAsia" w:hAnsiTheme="minorEastAsia" w:eastAsiaTheme="minorEastAsia" w:cstheme="minorEastAsia"/>
          <w:sz w:val="24"/>
          <w:szCs w:val="24"/>
        </w:rPr>
        <w:tab/>
      </w:r>
    </w:p>
    <w:p>
      <w:pPr>
        <w:pStyle w:val="4"/>
        <w:keepNext w:val="0"/>
        <w:keepLines w:val="0"/>
        <w:pageBreakBefore w:val="0"/>
        <w:widowControl w:val="0"/>
        <w:kinsoku/>
        <w:wordWrap/>
        <w:overflowPunct/>
        <w:topLinePunct w:val="0"/>
        <w:autoSpaceDE w:val="0"/>
        <w:autoSpaceDN w:val="0"/>
        <w:bidi w:val="0"/>
        <w:adjustRightInd/>
        <w:snapToGrid/>
        <w:spacing w:line="400" w:lineRule="exact"/>
        <w:ind w:left="0" w:leftChars="0" w:firstLine="480" w:firstLineChars="200"/>
        <w:jc w:val="both"/>
        <w:textAlignment w:val="auto"/>
        <w:rPr>
          <w:rFonts w:hint="default"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用人单位对我校毕业生评价相比去年有所提升，但低于全省平均值。据浙江省教育评估院发布的《2022届高校毕业生职业发展状况及人才培养质量调查报告》显示，全省平均值为98.82分，用人单位对我校2022届毕业生的综合素质满意度为97.31分，其中实践动手能力97.54分，专业水平96.72分，创新能力95.90分，合作与协调能力96.84分，人际沟通能力96.25分。</w:t>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0"/>
        <w:rPr>
          <w:rFonts w:hint="eastAsia" w:ascii="黑体" w:hAnsi="黑体" w:eastAsia="黑体" w:cs="黑体"/>
          <w:b w:val="0"/>
          <w:bCs w:val="0"/>
          <w:color w:val="auto"/>
          <w:kern w:val="2"/>
          <w:sz w:val="24"/>
          <w:szCs w:val="24"/>
          <w:lang w:val="en-US" w:eastAsia="zh-CN" w:bidi="ar-SA"/>
        </w:rPr>
      </w:pPr>
      <w:bookmarkStart w:id="66" w:name="_Toc31667"/>
      <w:r>
        <w:rPr>
          <w:rFonts w:hint="eastAsia" w:ascii="黑体" w:hAnsi="黑体" w:eastAsia="黑体" w:cs="黑体"/>
          <w:b w:val="0"/>
          <w:bCs w:val="0"/>
          <w:color w:val="auto"/>
          <w:kern w:val="2"/>
          <w:sz w:val="30"/>
          <w:szCs w:val="30"/>
          <w:lang w:val="en-US" w:eastAsia="zh-CN" w:bidi="ar-SA"/>
        </w:rPr>
        <w:t>七、特色发展</w:t>
      </w:r>
      <w:bookmarkEnd w:id="66"/>
      <w:r>
        <w:rPr>
          <w:rFonts w:hint="eastAsia" w:ascii="黑体" w:hAnsi="黑体" w:eastAsia="黑体" w:cs="黑体"/>
          <w:b w:val="0"/>
          <w:bCs w:val="0"/>
          <w:color w:val="auto"/>
          <w:kern w:val="2"/>
          <w:sz w:val="24"/>
          <w:szCs w:val="24"/>
          <w:lang w:val="en-US" w:eastAsia="zh-CN" w:bidi="ar-SA"/>
        </w:rPr>
        <w:tab/>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outlineLvl w:val="1"/>
        <w:rPr>
          <w:rFonts w:hint="eastAsia" w:ascii="黑体" w:hAnsi="黑体" w:eastAsia="黑体" w:cs="黑体"/>
          <w:b w:val="0"/>
          <w:bCs w:val="0"/>
          <w:color w:val="auto"/>
          <w:kern w:val="2"/>
          <w:sz w:val="28"/>
          <w:szCs w:val="28"/>
          <w:lang w:val="en-US" w:eastAsia="zh-CN" w:bidi="ar-SA"/>
        </w:rPr>
      </w:pPr>
      <w:bookmarkStart w:id="67" w:name="_Toc13689"/>
      <w:r>
        <w:rPr>
          <w:rFonts w:hint="eastAsia" w:ascii="黑体" w:hAnsi="黑体" w:eastAsia="黑体" w:cs="黑体"/>
          <w:b w:val="0"/>
          <w:bCs w:val="0"/>
          <w:color w:val="auto"/>
          <w:kern w:val="2"/>
          <w:sz w:val="28"/>
          <w:szCs w:val="28"/>
          <w:lang w:val="en-US" w:eastAsia="zh-CN" w:bidi="ar-SA"/>
        </w:rPr>
        <w:t>（一）坚持理论实践双主线，深化产教城融合协同育人</w:t>
      </w:r>
      <w:bookmarkEnd w:id="67"/>
    </w:p>
    <w:p>
      <w:pPr>
        <w:keepNext w:val="0"/>
        <w:keepLines w:val="0"/>
        <w:pageBreakBefore w:val="0"/>
        <w:widowControl w:val="0"/>
        <w:kinsoku/>
        <w:wordWrap/>
        <w:overflowPunct/>
        <w:topLinePunct w:val="0"/>
        <w:autoSpaceDE/>
        <w:autoSpaceDN/>
        <w:bidi w:val="0"/>
        <w:adjustRightInd w:val="0"/>
        <w:snapToGrid w:val="0"/>
        <w:spacing w:line="400" w:lineRule="exact"/>
        <w:ind w:firstLine="480" w:firstLineChars="200"/>
        <w:jc w:val="both"/>
        <w:textAlignment w:val="auto"/>
        <w:rPr>
          <w:rFonts w:hint="default" w:asciiTheme="minorEastAsia" w:hAnsiTheme="minorEastAsia" w:eastAsiaTheme="minorEastAsia" w:cstheme="minorEastAsia"/>
          <w:b w:val="0"/>
          <w:bCs w:val="0"/>
          <w:color w:val="auto"/>
          <w:kern w:val="2"/>
          <w:sz w:val="24"/>
          <w:szCs w:val="24"/>
          <w:lang w:val="en-US" w:eastAsia="zh-CN" w:bidi="ar-SA"/>
          <w14:ligatures w14:val="none"/>
        </w:rPr>
      </w:pPr>
      <w:r>
        <w:rPr>
          <w:rFonts w:hint="eastAsia" w:asciiTheme="minorEastAsia" w:hAnsiTheme="minorEastAsia" w:eastAsiaTheme="minorEastAsia" w:cstheme="minorEastAsia"/>
          <w:b w:val="0"/>
          <w:bCs w:val="0"/>
          <w:color w:val="auto"/>
          <w:kern w:val="2"/>
          <w:sz w:val="24"/>
          <w:szCs w:val="24"/>
          <w:lang w:val="en-US" w:eastAsia="zh-CN" w:bidi="ar-SA"/>
          <w14:ligatures w14:val="none"/>
        </w:rPr>
        <w:t>学校聚焦应用型人才培养中心，双主线推进理论教学与实践教学，教学线、学工线紧密融合，</w:t>
      </w:r>
      <w:r>
        <w:rPr>
          <w:rFonts w:hint="eastAsia" w:asciiTheme="minorEastAsia" w:hAnsiTheme="minorEastAsia" w:eastAsiaTheme="minorEastAsia" w:cstheme="minorEastAsia"/>
          <w:sz w:val="24"/>
          <w:szCs w:val="24"/>
          <w:lang w:val="en-US" w:eastAsia="zh-CN"/>
          <w14:ligatures w14:val="none"/>
        </w:rPr>
        <w:t>不断深化产教协同育人模式，保障应用型人才培养质量。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2" w:firstLineChars="200"/>
        <w:jc w:val="both"/>
        <w:textAlignment w:val="auto"/>
        <w:rPr>
          <w:rFonts w:hint="eastAsia" w:asciiTheme="minorEastAsia" w:hAnsiTheme="minorEastAsia" w:eastAsiaTheme="minorEastAsia" w:cstheme="minorEastAsia"/>
          <w:sz w:val="24"/>
          <w:szCs w:val="24"/>
          <w:lang w:val="en-US" w:eastAsia="zh-CN"/>
          <w14:ligatures w14:val="none"/>
        </w:rPr>
      </w:pPr>
      <w:r>
        <w:rPr>
          <w:rFonts w:hint="eastAsia" w:ascii="宋体" w:hAnsi="宋体" w:eastAsia="宋体" w:cs="宋体"/>
          <w:b/>
          <w:bCs/>
          <w:i w:val="0"/>
          <w:iCs w:val="0"/>
          <w:caps w:val="0"/>
          <w:color w:val="auto"/>
          <w:spacing w:val="0"/>
          <w:sz w:val="24"/>
          <w:szCs w:val="24"/>
          <w:highlight w:val="none"/>
          <w:shd w:val="clear" w:fill="auto"/>
          <w:lang w:val="en-US" w:eastAsia="zh-CN"/>
          <w14:ligatures w14:val="none"/>
        </w:rPr>
        <w:t>强机制，全面夯实产教城融合育人基础</w:t>
      </w:r>
      <w:r>
        <w:rPr>
          <w:rFonts w:hint="eastAsia" w:asciiTheme="minorEastAsia" w:hAnsiTheme="minorEastAsia" w:eastAsiaTheme="minorEastAsia" w:cstheme="minorEastAsia"/>
          <w:b/>
          <w:bCs/>
          <w:color w:val="auto"/>
          <w:kern w:val="2"/>
          <w:sz w:val="24"/>
          <w:szCs w:val="24"/>
          <w:lang w:val="en-US" w:eastAsia="zh-CN" w:bidi="ar-SA"/>
          <w14:ligatures w14:val="none"/>
        </w:rPr>
        <w:t>。</w:t>
      </w:r>
      <w:r>
        <w:rPr>
          <w:rFonts w:hint="eastAsia" w:asciiTheme="minorEastAsia" w:hAnsiTheme="minorEastAsia" w:eastAsiaTheme="minorEastAsia" w:cstheme="minorEastAsia"/>
          <w:sz w:val="24"/>
          <w:szCs w:val="24"/>
          <w:lang w:val="en-US" w:eastAsia="zh-CN"/>
          <w14:ligatures w14:val="none"/>
        </w:rPr>
        <w:t>学校积极探索推进教育、产业、教学与实践、学校与城市的深度融合，构建了全方位、多层次的产教城融合育人新模式。学校成立工作领导小组，建立跨部门协作的“教与学融合”工作机制，出台</w:t>
      </w:r>
      <w:r>
        <w:rPr>
          <w:rFonts w:hint="default" w:ascii="Times New Roman" w:hAnsi="Times New Roman" w:cs="Times New Roman" w:eastAsiaTheme="minorEastAsia"/>
          <w:i w:val="0"/>
          <w:iCs w:val="0"/>
          <w:caps w:val="0"/>
          <w:color w:val="auto"/>
          <w:spacing w:val="0"/>
          <w:sz w:val="24"/>
          <w:szCs w:val="24"/>
          <w:highlight w:val="none"/>
          <w:shd w:val="clear" w:fill="auto"/>
        </w:rPr>
        <w:t>《湖州学院“双师双能型”教师队伍建设实施办法（试行）》《湖州学院专任教师赴企（行）业挂职管理办法（试行）》</w:t>
      </w:r>
      <w:r>
        <w:rPr>
          <w:rFonts w:hint="eastAsia" w:ascii="Times New Roman" w:hAnsi="Times New Roman" w:cs="Times New Roman" w:eastAsiaTheme="minorEastAsia"/>
          <w:i w:val="0"/>
          <w:iCs w:val="0"/>
          <w:caps w:val="0"/>
          <w:color w:val="auto"/>
          <w:spacing w:val="0"/>
          <w:sz w:val="24"/>
          <w:szCs w:val="24"/>
          <w:highlight w:val="none"/>
          <w:shd w:val="clear" w:fill="auto"/>
          <w:lang w:val="en-US" w:eastAsia="zh-CN"/>
        </w:rPr>
        <w:t>，</w:t>
      </w:r>
      <w:r>
        <w:rPr>
          <w:rFonts w:hint="default" w:ascii="Times New Roman" w:hAnsi="Times New Roman" w:cs="Times New Roman" w:eastAsiaTheme="minorEastAsia"/>
          <w:i w:val="0"/>
          <w:iCs w:val="0"/>
          <w:caps w:val="0"/>
          <w:color w:val="auto"/>
          <w:spacing w:val="0"/>
          <w:sz w:val="24"/>
          <w:szCs w:val="24"/>
          <w:highlight w:val="none"/>
          <w:shd w:val="clear" w:fill="auto"/>
        </w:rPr>
        <w:t>积极鼓励教师深入企业实践，通过挂职锻炼的方式，切实增强教师的实践应用能力和专业技能</w:t>
      </w:r>
      <w:r>
        <w:rPr>
          <w:rFonts w:hint="eastAsia" w:ascii="Times New Roman" w:hAnsi="Times New Roman" w:cs="Times New Roman" w:eastAsiaTheme="minorEastAsia"/>
          <w:i w:val="0"/>
          <w:iCs w:val="0"/>
          <w:caps w:val="0"/>
          <w:color w:val="auto"/>
          <w:spacing w:val="0"/>
          <w:sz w:val="24"/>
          <w:szCs w:val="24"/>
          <w:highlight w:val="none"/>
          <w:shd w:val="clear" w:fill="auto"/>
          <w:lang w:eastAsia="zh-CN"/>
        </w:rPr>
        <w:t>，</w:t>
      </w:r>
      <w:r>
        <w:rPr>
          <w:rFonts w:hint="eastAsia" w:ascii="Times New Roman" w:hAnsi="Times New Roman" w:cs="Times New Roman" w:eastAsiaTheme="minorEastAsia"/>
          <w:i w:val="0"/>
          <w:iCs w:val="0"/>
          <w:caps w:val="0"/>
          <w:color w:val="auto"/>
          <w:spacing w:val="0"/>
          <w:sz w:val="24"/>
          <w:szCs w:val="24"/>
          <w:highlight w:val="none"/>
          <w:shd w:val="clear" w:fill="auto"/>
          <w:lang w:val="en-US" w:eastAsia="zh-CN"/>
        </w:rPr>
        <w:t>紧密衔接人才链、教育链、产业链与创新链，为校企共育平台建设提供政策保障</w:t>
      </w:r>
      <w:r>
        <w:rPr>
          <w:rFonts w:hint="default" w:ascii="Times New Roman" w:hAnsi="Times New Roman" w:cs="Times New Roman" w:eastAsiaTheme="minorEastAsia"/>
          <w:i w:val="0"/>
          <w:iCs w:val="0"/>
          <w:caps w:val="0"/>
          <w:color w:val="auto"/>
          <w:spacing w:val="0"/>
          <w:sz w:val="24"/>
          <w:szCs w:val="24"/>
          <w:highlight w:val="none"/>
          <w:shd w:val="clear" w:fill="auto"/>
        </w:rPr>
        <w:t>。</w:t>
      </w:r>
      <w:r>
        <w:rPr>
          <w:rFonts w:hint="eastAsia" w:ascii="Times New Roman" w:hAnsi="Times New Roman" w:cs="Times New Roman" w:eastAsiaTheme="minorEastAsia"/>
          <w:i w:val="0"/>
          <w:iCs w:val="0"/>
          <w:caps w:val="0"/>
          <w:color w:val="auto"/>
          <w:spacing w:val="0"/>
          <w:sz w:val="24"/>
          <w:szCs w:val="24"/>
          <w:highlight w:val="none"/>
          <w:shd w:val="clear" w:fill="auto"/>
          <w:lang w:val="en-US" w:eastAsia="zh-CN"/>
        </w:rPr>
        <w:t>学校</w:t>
      </w:r>
      <w:r>
        <w:rPr>
          <w:rFonts w:hint="default" w:ascii="Times New Roman" w:hAnsi="Times New Roman" w:cs="Times New Roman" w:eastAsiaTheme="minorEastAsia"/>
          <w:i w:val="0"/>
          <w:iCs w:val="0"/>
          <w:caps w:val="0"/>
          <w:color w:val="auto"/>
          <w:spacing w:val="0"/>
          <w:sz w:val="24"/>
          <w:szCs w:val="24"/>
          <w:highlight w:val="none"/>
          <w:shd w:val="clear" w:fill="auto"/>
        </w:rPr>
        <w:t>认定首批133名“双师双能型”教师，</w:t>
      </w:r>
      <w:r>
        <w:rPr>
          <w:rFonts w:hint="eastAsia" w:ascii="Times New Roman" w:hAnsi="Times New Roman" w:cs="Times New Roman" w:eastAsiaTheme="minorEastAsia"/>
          <w:i w:val="0"/>
          <w:iCs w:val="0"/>
          <w:caps w:val="0"/>
          <w:color w:val="auto"/>
          <w:spacing w:val="0"/>
          <w:sz w:val="24"/>
          <w:szCs w:val="24"/>
          <w:highlight w:val="none"/>
          <w:shd w:val="clear" w:fill="auto"/>
          <w:lang w:val="en-US" w:eastAsia="zh-CN"/>
        </w:rPr>
        <w:t>聘请100</w:t>
      </w:r>
      <w:r>
        <w:rPr>
          <w:rFonts w:hint="eastAsia" w:ascii="宋体" w:hAnsi="宋体" w:eastAsia="宋体" w:cs="宋体"/>
          <w:i w:val="0"/>
          <w:iCs w:val="0"/>
          <w:caps w:val="0"/>
          <w:color w:val="auto"/>
          <w:spacing w:val="0"/>
          <w:sz w:val="24"/>
          <w:szCs w:val="24"/>
          <w:highlight w:val="none"/>
          <w:shd w:val="clear" w:fill="auto"/>
          <w:lang w:val="en-US" w:eastAsia="zh-CN"/>
          <w14:ligatures w14:val="none"/>
        </w:rPr>
        <w:t>余名行业专家为产业教授、实践导师，</w:t>
      </w:r>
      <w:r>
        <w:rPr>
          <w:rFonts w:hint="default" w:ascii="Times New Roman" w:hAnsi="Times New Roman" w:cs="Times New Roman" w:eastAsiaTheme="minorEastAsia"/>
          <w:i w:val="0"/>
          <w:iCs w:val="0"/>
          <w:caps w:val="0"/>
          <w:color w:val="auto"/>
          <w:spacing w:val="0"/>
          <w:sz w:val="24"/>
          <w:szCs w:val="24"/>
          <w:highlight w:val="none"/>
          <w:shd w:val="clear" w:fill="auto"/>
        </w:rPr>
        <w:t>选派首批22名专任教师</w:t>
      </w:r>
      <w:r>
        <w:rPr>
          <w:rFonts w:ascii="Times New Roman" w:hAnsi="Times New Roman" w:cs="Times New Roman" w:eastAsiaTheme="minorEastAsia"/>
          <w:i w:val="0"/>
          <w:iCs w:val="0"/>
          <w:caps w:val="0"/>
          <w:color w:val="auto"/>
          <w:spacing w:val="0"/>
          <w:sz w:val="24"/>
          <w:szCs w:val="24"/>
          <w:highlight w:val="none"/>
          <w:shd w:val="clear" w:fill="auto"/>
        </w:rPr>
        <w:t>赴企业挂职，</w:t>
      </w:r>
      <w:r>
        <w:rPr>
          <w:rFonts w:hint="eastAsia" w:ascii="Times New Roman" w:hAnsi="Times New Roman" w:cs="Times New Roman" w:eastAsiaTheme="minorEastAsia"/>
          <w:i w:val="0"/>
          <w:iCs w:val="0"/>
          <w:caps w:val="0"/>
          <w:color w:val="auto"/>
          <w:spacing w:val="0"/>
          <w:sz w:val="24"/>
          <w:szCs w:val="24"/>
          <w:highlight w:val="none"/>
          <w:shd w:val="clear" w:fill="auto"/>
          <w:lang w:val="en-US" w:eastAsia="zh-CN"/>
        </w:rPr>
        <w:t>不断深化产教融合、科教融汇，引导学生成长成才。学校</w:t>
      </w:r>
      <w:r>
        <w:rPr>
          <w:rFonts w:hint="eastAsia" w:asciiTheme="minorEastAsia" w:hAnsiTheme="minorEastAsia" w:eastAsiaTheme="minorEastAsia" w:cstheme="minorEastAsia"/>
          <w:sz w:val="24"/>
          <w:szCs w:val="24"/>
          <w:lang w:val="en-US" w:eastAsia="zh-CN"/>
          <w14:ligatures w14:val="none"/>
        </w:rPr>
        <w:t>与泰</w:t>
      </w:r>
      <w:r>
        <w:rPr>
          <w:rFonts w:hint="eastAsia" w:ascii="Times New Roman" w:hAnsi="Times New Roman" w:cs="Times New Roman" w:eastAsiaTheme="minorEastAsia"/>
          <w:i w:val="0"/>
          <w:iCs w:val="0"/>
          <w:caps w:val="0"/>
          <w:color w:val="auto"/>
          <w:spacing w:val="0"/>
          <w:sz w:val="24"/>
          <w:szCs w:val="24"/>
          <w:highlight w:val="none"/>
          <w:shd w:val="clear" w:fill="auto"/>
          <w:lang w:val="en-US" w:eastAsia="zh-CN"/>
        </w:rPr>
        <w:t>隆</w:t>
      </w:r>
      <w:r>
        <w:rPr>
          <w:rFonts w:hint="eastAsia" w:asciiTheme="minorEastAsia" w:hAnsiTheme="minorEastAsia" w:eastAsiaTheme="minorEastAsia" w:cstheme="minorEastAsia"/>
          <w:sz w:val="24"/>
          <w:szCs w:val="24"/>
          <w:lang w:val="en-US" w:eastAsia="zh-CN"/>
          <w14:ligatures w14:val="none"/>
        </w:rPr>
        <w:t>银行联合举办“经济与金融微”专业，与国医科技集团联合举办“智慧供应链”微专业，积极探索校地融合发展新模式。</w:t>
      </w:r>
      <w:r>
        <w:rPr>
          <w:rFonts w:hint="eastAsia" w:ascii="Times New Roman" w:hAnsi="Times New Roman" w:cs="Times New Roman" w:eastAsiaTheme="minorEastAsia"/>
          <w:i w:val="0"/>
          <w:iCs w:val="0"/>
          <w:caps w:val="0"/>
          <w:color w:val="auto"/>
          <w:spacing w:val="0"/>
          <w:sz w:val="24"/>
          <w:szCs w:val="24"/>
          <w:highlight w:val="none"/>
          <w:shd w:val="clear" w:fill="auto"/>
          <w:lang w:val="en-US" w:eastAsia="zh-CN"/>
        </w:rPr>
        <w:t>目前</w:t>
      </w:r>
      <w:r>
        <w:rPr>
          <w:rFonts w:hint="eastAsia" w:asciiTheme="minorEastAsia" w:hAnsiTheme="minorEastAsia" w:eastAsiaTheme="minorEastAsia" w:cstheme="minorEastAsia"/>
          <w:sz w:val="24"/>
          <w:szCs w:val="24"/>
          <w:lang w:val="en-US" w:eastAsia="zh-CN"/>
          <w14:ligatures w14:val="none"/>
        </w:rPr>
        <w:t>学校与企业共建校外实践基地193家，产学研基地26家。</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2" w:firstLineChars="200"/>
        <w:jc w:val="both"/>
        <w:textAlignment w:val="auto"/>
        <w:rPr>
          <w:rFonts w:hint="eastAsia" w:asciiTheme="minorEastAsia" w:hAnsiTheme="minorEastAsia" w:eastAsiaTheme="minorEastAsia" w:cstheme="minorEastAsia"/>
          <w:b/>
          <w:bCs/>
          <w:color w:val="auto"/>
          <w:kern w:val="2"/>
          <w:sz w:val="24"/>
          <w:szCs w:val="24"/>
          <w:lang w:val="en-US" w:eastAsia="zh-CN" w:bidi="ar-SA"/>
          <w14:ligatures w14:val="none"/>
        </w:rPr>
      </w:pPr>
      <w:r>
        <w:rPr>
          <w:rFonts w:hint="eastAsia" w:ascii="宋体" w:hAnsi="宋体" w:eastAsia="宋体" w:cs="宋体"/>
          <w:b/>
          <w:bCs/>
          <w:i w:val="0"/>
          <w:iCs w:val="0"/>
          <w:caps w:val="0"/>
          <w:color w:val="auto"/>
          <w:spacing w:val="0"/>
          <w:sz w:val="24"/>
          <w:szCs w:val="24"/>
          <w:highlight w:val="none"/>
          <w:shd w:val="clear" w:fill="auto"/>
          <w:lang w:val="en-US" w:eastAsia="zh-CN"/>
          <w14:ligatures w14:val="none"/>
        </w:rPr>
        <w:t>显特色，产教城协同打造两大实践品牌。</w:t>
      </w:r>
      <w:r>
        <w:rPr>
          <w:rFonts w:hint="eastAsia" w:ascii="宋体" w:hAnsi="宋体" w:eastAsia="宋体" w:cs="宋体"/>
          <w:i w:val="0"/>
          <w:iCs w:val="0"/>
          <w:caps w:val="0"/>
          <w:color w:val="auto"/>
          <w:spacing w:val="0"/>
          <w:sz w:val="24"/>
          <w:szCs w:val="24"/>
          <w:highlight w:val="none"/>
          <w:shd w:val="clear" w:fill="auto"/>
          <w:lang w:val="en-US" w:eastAsia="zh-CN"/>
          <w14:ligatures w14:val="none"/>
        </w:rPr>
        <w:t>学校继续打造“白鹭齐飞 夏耕树人”暑期专业实践活动和毕业实习、毕业设计、就业一体化等两大实践品牌，实践中学生有制度、有组织地开展集中实习活动。“白鹭齐飞 夏耕树人”产教城融合育才实践活动融思政教育、专业教育和劳动教育于一体，是打通教育与产业、教学与实践、学校与城市的产教城融合育人的新模式。近三年累计参与学生总数达到2300余人，涉及湖州市内企事业单位近400家。为了进一步巩固“实践教学四年不断线”的理念，2022年起学校启动“毕业实习、毕业设计、就业一体化”活动，近两年累计参与学生总数达到1200余人，涉及湖州市内企事业单位260余家。</w:t>
      </w:r>
    </w:p>
    <w:p>
      <w:pPr>
        <w:keepNext w:val="0"/>
        <w:keepLines w:val="0"/>
        <w:pageBreakBefore w:val="0"/>
        <w:widowControl w:val="0"/>
        <w:kinsoku/>
        <w:wordWrap/>
        <w:overflowPunct/>
        <w:topLinePunct w:val="0"/>
        <w:autoSpaceDE/>
        <w:autoSpaceDN/>
        <w:bidi w:val="0"/>
        <w:adjustRightInd w:val="0"/>
        <w:snapToGrid w:val="0"/>
        <w:spacing w:line="400" w:lineRule="exact"/>
        <w:ind w:firstLine="482" w:firstLineChars="200"/>
        <w:jc w:val="both"/>
        <w:textAlignment w:val="auto"/>
        <w:rPr>
          <w:rFonts w:hint="eastAsia" w:asciiTheme="minorEastAsia" w:hAnsiTheme="minorEastAsia" w:eastAsiaTheme="minorEastAsia" w:cstheme="minorEastAsia"/>
          <w:sz w:val="24"/>
          <w:szCs w:val="24"/>
          <w:lang w:val="en-US" w:eastAsia="zh-CN"/>
          <w14:ligatures w14:val="none"/>
        </w:rPr>
      </w:pPr>
      <w:r>
        <w:rPr>
          <w:rFonts w:hint="eastAsia" w:ascii="宋体" w:hAnsi="宋体" w:eastAsia="宋体" w:cs="宋体"/>
          <w:b/>
          <w:bCs/>
          <w:i w:val="0"/>
          <w:iCs w:val="0"/>
          <w:caps w:val="0"/>
          <w:color w:val="auto"/>
          <w:spacing w:val="0"/>
          <w:sz w:val="24"/>
          <w:szCs w:val="24"/>
          <w:highlight w:val="none"/>
          <w:shd w:val="clear" w:fill="auto"/>
          <w:lang w:val="en-US" w:eastAsia="zh-CN"/>
          <w14:ligatures w14:val="none"/>
        </w:rPr>
        <w:t>重实效，产教城协同提升学生</w:t>
      </w:r>
      <w:r>
        <w:rPr>
          <w:rFonts w:hint="eastAsia" w:ascii="宋体" w:hAnsi="宋体" w:cs="宋体"/>
          <w:b/>
          <w:bCs/>
          <w:i w:val="0"/>
          <w:iCs w:val="0"/>
          <w:caps w:val="0"/>
          <w:color w:val="auto"/>
          <w:spacing w:val="0"/>
          <w:sz w:val="24"/>
          <w:szCs w:val="24"/>
          <w:highlight w:val="none"/>
          <w:shd w:val="clear" w:fill="auto"/>
          <w:lang w:val="en-US" w:eastAsia="zh-CN"/>
          <w14:ligatures w14:val="none"/>
        </w:rPr>
        <w:t>综合素质</w:t>
      </w:r>
      <w:r>
        <w:rPr>
          <w:rFonts w:hint="eastAsia" w:ascii="宋体" w:hAnsi="宋体" w:eastAsia="宋体" w:cs="宋体"/>
          <w:b/>
          <w:bCs/>
          <w:i w:val="0"/>
          <w:iCs w:val="0"/>
          <w:caps w:val="0"/>
          <w:color w:val="auto"/>
          <w:spacing w:val="0"/>
          <w:sz w:val="24"/>
          <w:szCs w:val="24"/>
          <w:highlight w:val="none"/>
          <w:shd w:val="clear" w:fill="auto"/>
          <w:lang w:val="en-US" w:eastAsia="zh-CN"/>
          <w14:ligatures w14:val="none"/>
        </w:rPr>
        <w:t>。</w:t>
      </w:r>
      <w:r>
        <w:rPr>
          <w:rFonts w:hint="eastAsia" w:ascii="宋体" w:hAnsi="宋体" w:eastAsia="宋体" w:cs="宋体"/>
          <w:i w:val="0"/>
          <w:iCs w:val="0"/>
          <w:caps w:val="0"/>
          <w:color w:val="auto"/>
          <w:spacing w:val="0"/>
          <w:sz w:val="24"/>
          <w:szCs w:val="24"/>
          <w:highlight w:val="none"/>
          <w:shd w:val="clear" w:fill="auto"/>
          <w:lang w:val="en-US" w:eastAsia="zh-CN"/>
          <w14:ligatures w14:val="none"/>
        </w:rPr>
        <w:t>依托现代产业学院、校外实践基地、实验实训中心等平台，通过两大实践，</w:t>
      </w:r>
      <w:r>
        <w:rPr>
          <w:rFonts w:hint="default" w:ascii="宋体" w:hAnsi="宋体" w:eastAsia="宋体" w:cs="宋体"/>
          <w:i w:val="0"/>
          <w:iCs w:val="0"/>
          <w:caps w:val="0"/>
          <w:color w:val="auto"/>
          <w:spacing w:val="0"/>
          <w:sz w:val="24"/>
          <w:szCs w:val="24"/>
          <w:highlight w:val="none"/>
          <w:shd w:val="clear" w:fill="auto"/>
          <w:lang w:val="en-US" w:eastAsia="zh-CN"/>
          <w14:ligatures w14:val="none"/>
        </w:rPr>
        <w:t>把学生送到</w:t>
      </w:r>
      <w:r>
        <w:rPr>
          <w:rFonts w:hint="eastAsia" w:ascii="宋体" w:hAnsi="宋体" w:eastAsia="宋体" w:cs="宋体"/>
          <w:i w:val="0"/>
          <w:iCs w:val="0"/>
          <w:caps w:val="0"/>
          <w:color w:val="auto"/>
          <w:spacing w:val="0"/>
          <w:sz w:val="24"/>
          <w:szCs w:val="24"/>
          <w:highlight w:val="none"/>
          <w:shd w:val="clear" w:fill="auto"/>
          <w:lang w:val="en-US" w:eastAsia="zh-CN"/>
          <w14:ligatures w14:val="none"/>
        </w:rPr>
        <w:t>工厂车间</w:t>
      </w:r>
      <w:r>
        <w:rPr>
          <w:rFonts w:hint="default" w:ascii="宋体" w:hAnsi="宋体" w:eastAsia="宋体" w:cs="宋体"/>
          <w:i w:val="0"/>
          <w:iCs w:val="0"/>
          <w:caps w:val="0"/>
          <w:color w:val="auto"/>
          <w:spacing w:val="0"/>
          <w:sz w:val="24"/>
          <w:szCs w:val="24"/>
          <w:highlight w:val="none"/>
          <w:shd w:val="clear" w:fill="auto"/>
          <w:lang w:val="en-US" w:eastAsia="zh-CN"/>
          <w14:ligatures w14:val="none"/>
        </w:rPr>
        <w:t>、生产一线去</w:t>
      </w:r>
      <w:r>
        <w:rPr>
          <w:rFonts w:hint="eastAsia" w:ascii="宋体" w:hAnsi="宋体" w:eastAsia="宋体" w:cs="宋体"/>
          <w:i w:val="0"/>
          <w:iCs w:val="0"/>
          <w:caps w:val="0"/>
          <w:color w:val="auto"/>
          <w:spacing w:val="0"/>
          <w:sz w:val="24"/>
          <w:szCs w:val="24"/>
          <w:highlight w:val="none"/>
          <w:shd w:val="clear" w:fill="auto"/>
          <w:lang w:val="en-US" w:eastAsia="zh-CN"/>
          <w14:ligatures w14:val="none"/>
        </w:rPr>
        <w:t>锻炼；通过“以赛促教、以赛促学”，大力实施“一专业一赛事，一学院一品牌”，</w:t>
      </w:r>
      <w:r>
        <w:rPr>
          <w:rFonts w:hint="default" w:ascii="宋体" w:hAnsi="宋体" w:eastAsia="宋体" w:cs="宋体"/>
          <w:i w:val="0"/>
          <w:iCs w:val="0"/>
          <w:caps w:val="0"/>
          <w:color w:val="auto"/>
          <w:spacing w:val="0"/>
          <w:sz w:val="24"/>
          <w:szCs w:val="24"/>
          <w:highlight w:val="none"/>
          <w:shd w:val="clear" w:fill="auto"/>
          <w:lang w:val="en-US" w:eastAsia="zh-CN"/>
          <w14:ligatures w14:val="none"/>
        </w:rPr>
        <w:t>着力培养符合</w:t>
      </w:r>
      <w:r>
        <w:rPr>
          <w:rFonts w:hint="eastAsia" w:ascii="宋体" w:hAnsi="宋体" w:eastAsia="宋体" w:cs="宋体"/>
          <w:i w:val="0"/>
          <w:iCs w:val="0"/>
          <w:caps w:val="0"/>
          <w:color w:val="auto"/>
          <w:spacing w:val="0"/>
          <w:sz w:val="24"/>
          <w:szCs w:val="24"/>
          <w:highlight w:val="none"/>
          <w:shd w:val="clear" w:fill="auto"/>
          <w:lang w:val="en-US" w:eastAsia="zh-CN"/>
          <w14:ligatures w14:val="none"/>
        </w:rPr>
        <w:t>地方</w:t>
      </w:r>
      <w:r>
        <w:rPr>
          <w:rFonts w:hint="default" w:ascii="宋体" w:hAnsi="宋体" w:eastAsia="宋体" w:cs="宋体"/>
          <w:i w:val="0"/>
          <w:iCs w:val="0"/>
          <w:caps w:val="0"/>
          <w:color w:val="auto"/>
          <w:spacing w:val="0"/>
          <w:sz w:val="24"/>
          <w:szCs w:val="24"/>
          <w:highlight w:val="none"/>
          <w:shd w:val="clear" w:fill="auto"/>
          <w:lang w:val="en-US" w:eastAsia="zh-CN"/>
          <w14:ligatures w14:val="none"/>
        </w:rPr>
        <w:t>产业发展的高素质应用型人才</w:t>
      </w:r>
      <w:r>
        <w:rPr>
          <w:rFonts w:hint="eastAsia" w:ascii="宋体" w:hAnsi="宋体" w:eastAsia="宋体" w:cs="宋体"/>
          <w:i w:val="0"/>
          <w:iCs w:val="0"/>
          <w:caps w:val="0"/>
          <w:color w:val="auto"/>
          <w:spacing w:val="0"/>
          <w:sz w:val="24"/>
          <w:szCs w:val="24"/>
          <w:highlight w:val="none"/>
          <w:shd w:val="clear" w:fill="auto"/>
          <w:lang w:val="en-US" w:eastAsia="zh-CN"/>
          <w14:ligatures w14:val="none"/>
        </w:rPr>
        <w:t>。转设</w:t>
      </w:r>
      <w:r>
        <w:rPr>
          <w:rFonts w:hint="eastAsia" w:ascii="宋体" w:hAnsi="宋体" w:cs="宋体"/>
          <w:i w:val="0"/>
          <w:iCs w:val="0"/>
          <w:caps w:val="0"/>
          <w:color w:val="auto"/>
          <w:spacing w:val="0"/>
          <w:sz w:val="24"/>
          <w:szCs w:val="24"/>
          <w:highlight w:val="none"/>
          <w:shd w:val="clear" w:fill="auto"/>
          <w:lang w:val="en-US" w:eastAsia="zh-CN"/>
          <w14:ligatures w14:val="none"/>
        </w:rPr>
        <w:t>以来</w:t>
      </w:r>
      <w:r>
        <w:rPr>
          <w:rFonts w:hint="eastAsia" w:ascii="宋体" w:hAnsi="宋体" w:eastAsia="宋体" w:cs="宋体"/>
          <w:i w:val="0"/>
          <w:iCs w:val="0"/>
          <w:caps w:val="0"/>
          <w:color w:val="auto"/>
          <w:spacing w:val="0"/>
          <w:sz w:val="24"/>
          <w:szCs w:val="24"/>
          <w:highlight w:val="none"/>
          <w:shd w:val="clear" w:fill="auto"/>
          <w:lang w:val="en-US" w:eastAsia="zh-CN"/>
          <w14:ligatures w14:val="none"/>
        </w:rPr>
        <w:t>学校组织学生参与A类学科竞赛近百项，共获奖939项，其中国家级一等奖33项，国家级奖项共188项，省级奖项共748项；大学生创新创业训练计划项目共立项509项，其中国家级项目70项，省级项目242项；以学生为第一作者发表论文120篇，申请专利（著作权）43项。2024年学校</w:t>
      </w:r>
      <w:r>
        <w:rPr>
          <w:rFonts w:hint="eastAsia" w:asciiTheme="minorEastAsia" w:hAnsiTheme="minorEastAsia" w:eastAsiaTheme="minorEastAsia" w:cstheme="minorEastAsia"/>
          <w:sz w:val="24"/>
          <w:szCs w:val="24"/>
          <w:lang w:val="en-US" w:eastAsia="zh-CN"/>
          <w14:ligatures w14:val="none"/>
        </w:rPr>
        <w:t>项目“海琛智控——国内首次使用水下集群控制系统用于锚链技术”在浙江省国际大学生创新大赛中获得银奖，取得了重大突破。</w:t>
      </w:r>
    </w:p>
    <w:p>
      <w:pP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drawing>
          <wp:inline distT="0" distB="0" distL="114300" distR="114300">
            <wp:extent cx="5070475" cy="2849880"/>
            <wp:effectExtent l="0" t="0" r="4445" b="0"/>
            <wp:docPr id="15" name="图片 15" descr="6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640(1)"/>
                    <pic:cNvPicPr>
                      <a:picLocks noChangeAspect="1"/>
                    </pic:cNvPicPr>
                  </pic:nvPicPr>
                  <pic:blipFill>
                    <a:blip r:embed="rId15"/>
                    <a:stretch>
                      <a:fillRect/>
                    </a:stretch>
                  </pic:blipFill>
                  <pic:spPr>
                    <a:xfrm>
                      <a:off x="0" y="0"/>
                      <a:ext cx="5070475" cy="2849880"/>
                    </a:xfrm>
                    <a:prstGeom prst="rect">
                      <a:avLst/>
                    </a:prstGeom>
                    <a:noFill/>
                    <a:ln>
                      <a:noFill/>
                    </a:ln>
                  </pic:spPr>
                </pic:pic>
              </a:graphicData>
            </a:graphic>
          </wp:inline>
        </w:drawing>
      </w:r>
    </w:p>
    <w:p>
      <w:pPr>
        <w:jc w:val="center"/>
        <w:rPr>
          <w:rFonts w:hint="eastAsia" w:ascii="宋体" w:hAnsi="宋体" w:eastAsia="宋体" w:cs="宋体"/>
          <w:color w:val="auto"/>
          <w:kern w:val="2"/>
          <w:sz w:val="21"/>
          <w:szCs w:val="21"/>
          <w:lang w:val="en-US" w:eastAsia="zh-CN" w:bidi="ar-SA"/>
          <w14:ligatures w14:val="none"/>
        </w:rPr>
      </w:pPr>
      <w:r>
        <w:rPr>
          <w:rFonts w:hint="eastAsia" w:ascii="宋体" w:hAnsi="宋体" w:cs="宋体"/>
          <w:color w:val="auto"/>
          <w:kern w:val="2"/>
          <w:sz w:val="21"/>
          <w:szCs w:val="21"/>
          <w:lang w:val="en-US" w:eastAsia="zh-CN" w:bidi="ar-SA"/>
          <w14:ligatures w14:val="none"/>
        </w:rPr>
        <w:t xml:space="preserve">图8 </w:t>
      </w:r>
      <w:r>
        <w:rPr>
          <w:rFonts w:hint="eastAsia" w:ascii="宋体" w:hAnsi="宋体" w:eastAsia="宋体" w:cs="宋体"/>
          <w:color w:val="auto"/>
          <w:kern w:val="2"/>
          <w:sz w:val="21"/>
          <w:szCs w:val="21"/>
          <w:lang w:val="en-US" w:eastAsia="zh-CN" w:bidi="ar-SA"/>
          <w14:ligatures w14:val="none"/>
        </w:rPr>
        <w:t>浙江省国际大学生创新大赛</w:t>
      </w:r>
    </w:p>
    <w:p>
      <w:pPr>
        <w:rPr>
          <w:rFonts w:hint="eastAsia" w:ascii="宋体" w:hAnsi="宋体" w:eastAsia="宋体" w:cs="宋体"/>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outlineLvl w:val="1"/>
        <w:rPr>
          <w:rFonts w:hint="eastAsia" w:ascii="黑体" w:hAnsi="黑体" w:eastAsia="黑体" w:cs="黑体"/>
          <w:b w:val="0"/>
          <w:bCs w:val="0"/>
          <w:color w:val="auto"/>
          <w:kern w:val="2"/>
          <w:sz w:val="28"/>
          <w:szCs w:val="28"/>
          <w:lang w:val="en-US" w:eastAsia="zh-CN" w:bidi="ar-SA"/>
        </w:rPr>
      </w:pPr>
      <w:bookmarkStart w:id="68" w:name="_Toc12257"/>
      <w:r>
        <w:rPr>
          <w:rFonts w:hint="eastAsia" w:ascii="黑体" w:hAnsi="黑体" w:eastAsia="黑体" w:cs="黑体"/>
          <w:b w:val="0"/>
          <w:bCs w:val="0"/>
          <w:color w:val="auto"/>
          <w:kern w:val="2"/>
          <w:sz w:val="28"/>
          <w:szCs w:val="28"/>
          <w:lang w:val="en-US" w:eastAsia="zh-CN" w:bidi="ar-SA"/>
        </w:rPr>
        <w:t>（二）聚焦立德树人，构建“五位一体”思政工作大格局</w:t>
      </w:r>
      <w:bookmarkEnd w:id="6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学校聚焦立德树人根本任务，构建“理论武装-课堂教学-社会实践-校园文化-日常教育管理服务”“五位一体”思政工作大格局，将立德树人贯穿教育教学全过程，打造湖州学院思政工作品牌，全面提升应用型人才培养质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heme="minorEastAsia" w:hAnsiTheme="minorEastAsia" w:eastAsiaTheme="minorEastAsia" w:cstheme="minorEastAsia"/>
          <w:kern w:val="2"/>
          <w:sz w:val="24"/>
          <w:szCs w:val="24"/>
          <w:highlight w:val="none"/>
          <w:lang w:val="en-US" w:eastAsia="zh-CN" w:bidi="ar-SA"/>
        </w:rPr>
      </w:pPr>
      <w:r>
        <w:rPr>
          <w:rFonts w:hint="eastAsia" w:ascii="黑体" w:hAnsi="黑体" w:eastAsia="黑体" w:cs="黑体"/>
          <w:kern w:val="2"/>
          <w:sz w:val="24"/>
          <w:szCs w:val="24"/>
          <w:highlight w:val="none"/>
          <w:lang w:val="en-US" w:eastAsia="zh-CN" w:bidi="ar-SA"/>
        </w:rPr>
        <w:t>理论武装唱响主旋律。</w:t>
      </w:r>
      <w:r>
        <w:rPr>
          <w:rFonts w:hint="eastAsia" w:asciiTheme="minorEastAsia" w:hAnsiTheme="minorEastAsia" w:eastAsiaTheme="minorEastAsia" w:cstheme="minorEastAsia"/>
          <w:kern w:val="2"/>
          <w:sz w:val="24"/>
          <w:szCs w:val="24"/>
          <w:highlight w:val="none"/>
          <w:lang w:val="en-US" w:eastAsia="zh-CN" w:bidi="ar-SA"/>
        </w:rPr>
        <w:t>实施青年马克思主义者培养工程，突出对大学生骨干的思想引领，引导广大青年读原著、学原文、悟原理，用马克思主义中国化最新成果武装学生。</w:t>
      </w:r>
      <w:r>
        <w:rPr>
          <w:rFonts w:hint="eastAsia" w:ascii="Times New Roman" w:hAnsi="Times New Roman" w:eastAsia="宋体" w:cs="Times New Roman"/>
          <w:sz w:val="24"/>
          <w:lang w:val="en-US" w:eastAsia="zh-CN"/>
        </w:rPr>
        <w:t>始终将建好“习近平新时代中国特色社会主义思想概论”课程作为重大政治任务，多次召开集体备课会，集中挖掘和探讨教学重点问题。</w:t>
      </w:r>
      <w:r>
        <w:rPr>
          <w:rFonts w:hint="eastAsia" w:asciiTheme="minorEastAsia" w:hAnsiTheme="minorEastAsia" w:eastAsiaTheme="minorEastAsia" w:cstheme="minorEastAsia"/>
          <w:kern w:val="2"/>
          <w:sz w:val="24"/>
          <w:szCs w:val="24"/>
          <w:highlight w:val="none"/>
          <w:lang w:val="en-US" w:eastAsia="zh-CN" w:bidi="ar-SA"/>
        </w:rPr>
        <w:t>组建红色宣讲团和网络红军，开展各类教育活动150余场次，其中清明祭扫、纪念“海空卫士”王伟，“循迹溯源实地学，戎耀两山话担当”沉浸式党课等活动获央视、教育之江、南太湖号等外媒关注。</w:t>
      </w:r>
    </w:p>
    <w:p>
      <w:pPr>
        <w:pStyle w:val="5"/>
        <w:ind w:left="0" w:leftChars="0" w:firstLine="0" w:firstLineChars="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4648200" cy="3044825"/>
            <wp:effectExtent l="0" t="0" r="0" b="3175"/>
            <wp:docPr id="4" name="图片 4" descr="微信图片_20240407180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微信图片_20240407180343"/>
                    <pic:cNvPicPr>
                      <a:picLocks noChangeAspect="1"/>
                    </pic:cNvPicPr>
                  </pic:nvPicPr>
                  <pic:blipFill>
                    <a:blip r:embed="rId16"/>
                    <a:stretch>
                      <a:fillRect/>
                    </a:stretch>
                  </pic:blipFill>
                  <pic:spPr>
                    <a:xfrm>
                      <a:off x="0" y="0"/>
                      <a:ext cx="4648200" cy="3044825"/>
                    </a:xfrm>
                    <a:prstGeom prst="rect">
                      <a:avLst/>
                    </a:prstGeom>
                  </pic:spPr>
                </pic:pic>
              </a:graphicData>
            </a:graphic>
          </wp:inline>
        </w:drawing>
      </w:r>
    </w:p>
    <w:p>
      <w:pPr>
        <w:pStyle w:val="6"/>
        <w:ind w:left="0" w:leftChars="0" w:firstLine="0" w:firstLineChars="0"/>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图9 “祭英烈忆初心 承壮志续忠魂”清明祭扫</w:t>
      </w:r>
    </w:p>
    <w:p>
      <w:pPr>
        <w:rPr>
          <w:rFonts w:hint="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heme="minorEastAsia" w:hAnsiTheme="minorEastAsia" w:eastAsiaTheme="minorEastAsia" w:cstheme="minorEastAsia"/>
          <w:kern w:val="2"/>
          <w:sz w:val="24"/>
          <w:szCs w:val="24"/>
          <w:highlight w:val="none"/>
          <w:lang w:val="en-US" w:eastAsia="zh-CN" w:bidi="ar-SA"/>
        </w:rPr>
      </w:pPr>
      <w:r>
        <w:rPr>
          <w:rFonts w:hint="eastAsia" w:ascii="黑体" w:hAnsi="黑体" w:eastAsia="黑体" w:cs="黑体"/>
          <w:kern w:val="2"/>
          <w:sz w:val="24"/>
          <w:szCs w:val="24"/>
          <w:highlight w:val="none"/>
          <w:lang w:val="en-US" w:eastAsia="zh-CN" w:bidi="ar-SA"/>
        </w:rPr>
        <w:t>课堂教学坚守主阵地。</w:t>
      </w:r>
      <w:r>
        <w:rPr>
          <w:rFonts w:hint="eastAsia" w:asciiTheme="minorEastAsia" w:hAnsiTheme="minorEastAsia" w:eastAsiaTheme="minorEastAsia" w:cstheme="minorEastAsia"/>
          <w:kern w:val="2"/>
          <w:sz w:val="24"/>
          <w:szCs w:val="24"/>
          <w:highlight w:val="none"/>
          <w:lang w:val="en-US" w:eastAsia="zh-CN" w:bidi="ar-SA"/>
        </w:rPr>
        <w:t>推动思政课程与课程思政同向同行、协同育人，充分发挥思政课“主渠道”“主阵地”功能，全面推动习近平新时代中国特色社会主义思想进教材、进课堂、进头脑。与市农业农村局、安吉县孝丰镇、新风实验小学、湖州市十一中等单位合作，共同建设“大思政课”实践教学基地14个，推动思政课实践教学与学生社会实践活动结合，思政小课堂和社会大课堂结合，着力打造理论性和实践性相统一的“大思政课”，引导学生在实践中深化理论认知、坚定理想信念。</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heme="minorEastAsia" w:hAnsiTheme="minorEastAsia" w:eastAsiaTheme="minorEastAsia" w:cstheme="minorEastAsia"/>
          <w:kern w:val="2"/>
          <w:sz w:val="24"/>
          <w:szCs w:val="24"/>
          <w:highlight w:val="none"/>
          <w:lang w:val="en-US" w:eastAsia="zh-CN" w:bidi="ar-SA"/>
        </w:rPr>
      </w:pPr>
      <w:r>
        <w:rPr>
          <w:rFonts w:hint="eastAsia" w:ascii="黑体" w:hAnsi="黑体" w:eastAsia="黑体" w:cs="黑体"/>
          <w:kern w:val="2"/>
          <w:sz w:val="24"/>
          <w:szCs w:val="24"/>
          <w:highlight w:val="none"/>
          <w:lang w:val="en-US" w:eastAsia="zh-CN" w:bidi="ar-SA"/>
        </w:rPr>
        <w:t>社会实践弘扬正能量。</w:t>
      </w:r>
      <w:r>
        <w:rPr>
          <w:rFonts w:hint="eastAsia" w:asciiTheme="minorEastAsia" w:hAnsiTheme="minorEastAsia" w:eastAsiaTheme="minorEastAsia" w:cstheme="minorEastAsia"/>
          <w:kern w:val="2"/>
          <w:sz w:val="24"/>
          <w:szCs w:val="24"/>
          <w:highlight w:val="none"/>
          <w:lang w:val="en-US" w:eastAsia="zh-CN" w:bidi="ar-SA"/>
        </w:rPr>
        <w:t>注重思政“小课堂”与社会“大课堂”相结合，鼓励学生走出校园，走到火热的生产劳动和社会实践第一线。</w:t>
      </w:r>
      <w:r>
        <w:rPr>
          <w:rFonts w:hint="eastAsia" w:ascii="宋体" w:hAnsi="宋体" w:cs="宋体"/>
          <w:i w:val="0"/>
          <w:iCs w:val="0"/>
          <w:caps w:val="0"/>
          <w:color w:val="auto"/>
          <w:spacing w:val="0"/>
          <w:sz w:val="24"/>
          <w:szCs w:val="24"/>
          <w:highlight w:val="none"/>
          <w:shd w:val="clear" w:fill="auto"/>
          <w:lang w:val="en-US" w:eastAsia="zh-CN"/>
          <w14:ligatures w14:val="none"/>
        </w:rPr>
        <w:t>除开展</w:t>
      </w:r>
      <w:r>
        <w:rPr>
          <w:rFonts w:hint="eastAsia" w:ascii="宋体" w:hAnsi="宋体" w:eastAsia="宋体" w:cs="宋体"/>
          <w:i w:val="0"/>
          <w:iCs w:val="0"/>
          <w:caps w:val="0"/>
          <w:color w:val="auto"/>
          <w:spacing w:val="0"/>
          <w:sz w:val="24"/>
          <w:szCs w:val="24"/>
          <w:highlight w:val="none"/>
          <w:shd w:val="clear" w:fill="auto"/>
          <w:lang w:val="en-US" w:eastAsia="zh-CN"/>
          <w14:ligatures w14:val="none"/>
        </w:rPr>
        <w:t>“白鹭齐飞 夏耕树人”暑期专业实践活动和毕业实习、毕业设计、就业一体化两大实践</w:t>
      </w:r>
      <w:r>
        <w:rPr>
          <w:rFonts w:hint="eastAsia" w:ascii="宋体" w:hAnsi="宋体" w:cs="宋体"/>
          <w:i w:val="0"/>
          <w:iCs w:val="0"/>
          <w:caps w:val="0"/>
          <w:color w:val="auto"/>
          <w:spacing w:val="0"/>
          <w:sz w:val="24"/>
          <w:szCs w:val="24"/>
          <w:highlight w:val="none"/>
          <w:shd w:val="clear" w:fill="auto"/>
          <w:lang w:val="en-US" w:eastAsia="zh-CN"/>
          <w14:ligatures w14:val="none"/>
        </w:rPr>
        <w:t>活动外，</w:t>
      </w:r>
      <w:r>
        <w:rPr>
          <w:rFonts w:hint="eastAsia" w:ascii="宋体" w:hAnsi="宋体" w:eastAsia="宋体" w:cs="宋体"/>
          <w:kern w:val="0"/>
          <w:sz w:val="24"/>
          <w:lang w:val="en-US" w:eastAsia="zh-CN" w:bidi="ar"/>
        </w:rPr>
        <w:t>本学年</w:t>
      </w:r>
      <w:r>
        <w:rPr>
          <w:rFonts w:ascii="宋体" w:hAnsi="宋体" w:eastAsia="宋体" w:cs="宋体"/>
          <w:kern w:val="0"/>
          <w:sz w:val="24"/>
          <w:lang w:bidi="ar"/>
        </w:rPr>
        <w:t>团干部结对帮扶</w:t>
      </w:r>
      <w:r>
        <w:rPr>
          <w:rFonts w:hint="eastAsia" w:ascii="宋体" w:hAnsi="宋体" w:eastAsia="宋体" w:cs="宋体"/>
          <w:kern w:val="0"/>
          <w:sz w:val="24"/>
          <w:lang w:bidi="ar"/>
        </w:rPr>
        <w:t>27</w:t>
      </w:r>
      <w:r>
        <w:rPr>
          <w:rFonts w:ascii="宋体" w:hAnsi="宋体" w:eastAsia="宋体" w:cs="宋体"/>
          <w:kern w:val="0"/>
          <w:sz w:val="24"/>
          <w:lang w:bidi="ar"/>
        </w:rPr>
        <w:t>名学生，联合吴兴团区委</w:t>
      </w:r>
      <w:r>
        <w:rPr>
          <w:rFonts w:hint="eastAsia" w:ascii="宋体" w:hAnsi="宋体" w:eastAsia="宋体" w:cs="宋体"/>
          <w:kern w:val="0"/>
          <w:sz w:val="24"/>
          <w:lang w:bidi="ar"/>
        </w:rPr>
        <w:t>，</w:t>
      </w:r>
      <w:r>
        <w:rPr>
          <w:rFonts w:ascii="宋体" w:hAnsi="宋体" w:eastAsia="宋体" w:cs="宋体"/>
          <w:kern w:val="0"/>
          <w:sz w:val="24"/>
          <w:lang w:bidi="ar"/>
        </w:rPr>
        <w:t>选拔</w:t>
      </w:r>
      <w:r>
        <w:rPr>
          <w:rFonts w:hint="eastAsia" w:ascii="宋体" w:hAnsi="宋体" w:eastAsia="宋体" w:cs="宋体"/>
          <w:kern w:val="0"/>
          <w:sz w:val="24"/>
          <w:lang w:bidi="ar"/>
        </w:rPr>
        <w:t>33</w:t>
      </w:r>
      <w:r>
        <w:rPr>
          <w:rFonts w:ascii="宋体" w:hAnsi="宋体" w:eastAsia="宋体" w:cs="宋体"/>
          <w:kern w:val="0"/>
          <w:sz w:val="24"/>
          <w:lang w:bidi="ar"/>
        </w:rPr>
        <w:t>名学生进行为期1个月政务实习，组织</w:t>
      </w:r>
      <w:r>
        <w:rPr>
          <w:rFonts w:hint="eastAsia" w:ascii="宋体" w:hAnsi="宋体" w:eastAsia="宋体" w:cs="宋体"/>
          <w:kern w:val="0"/>
          <w:sz w:val="24"/>
          <w:lang w:bidi="ar"/>
        </w:rPr>
        <w:t>52</w:t>
      </w:r>
      <w:r>
        <w:rPr>
          <w:rFonts w:ascii="宋体" w:hAnsi="宋体" w:eastAsia="宋体" w:cs="宋体"/>
          <w:kern w:val="0"/>
          <w:sz w:val="24"/>
          <w:lang w:bidi="ar"/>
        </w:rPr>
        <w:t>支队伍</w:t>
      </w:r>
      <w:r>
        <w:rPr>
          <w:rFonts w:hint="eastAsia" w:ascii="宋体" w:hAnsi="宋体" w:eastAsia="宋体" w:cs="宋体"/>
          <w:kern w:val="0"/>
          <w:sz w:val="24"/>
          <w:lang w:bidi="ar"/>
        </w:rPr>
        <w:t>531</w:t>
      </w:r>
      <w:r>
        <w:rPr>
          <w:rFonts w:ascii="宋体" w:hAnsi="宋体" w:eastAsia="宋体" w:cs="宋体"/>
          <w:kern w:val="0"/>
          <w:sz w:val="24"/>
          <w:lang w:bidi="ar"/>
        </w:rPr>
        <w:t>人开展“双百双进”“返家乡”暑期社会实践。</w:t>
      </w:r>
      <w:r>
        <w:rPr>
          <w:rFonts w:hint="eastAsia" w:asciiTheme="minorEastAsia" w:hAnsiTheme="minorEastAsia" w:eastAsiaTheme="minorEastAsia" w:cstheme="minorEastAsia"/>
          <w:kern w:val="2"/>
          <w:sz w:val="24"/>
          <w:szCs w:val="24"/>
          <w:highlight w:val="none"/>
          <w:lang w:val="en-US" w:eastAsia="zh-CN" w:bidi="ar-SA"/>
        </w:rPr>
        <w:t>设计学院把课堂搬到湖州大地，开展青年乡创行动“在湖州看见美丽中国—绿色设计余村行”，237位毕业生打造3000件绿色设计作品，通过毕业设计作品展，赋能艺术乡建，为乡村振兴注入强劲动能。</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kern w:val="0"/>
          <w:sz w:val="24"/>
          <w:lang w:bidi="ar"/>
        </w:rPr>
        <w:sectPr>
          <w:footerReference r:id="rId4" w:type="default"/>
          <w:pgSz w:w="11906" w:h="16838"/>
          <w:pgMar w:top="1440" w:right="1800" w:bottom="1440" w:left="1800" w:header="851" w:footer="992" w:gutter="0"/>
          <w:pgNumType w:fmt="decimal" w:start="1"/>
          <w:cols w:space="425" w:num="1"/>
          <w:docGrid w:type="lines" w:linePitch="312" w:charSpace="0"/>
        </w:sect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heme="minorEastAsia" w:hAnsiTheme="minorEastAsia" w:eastAsiaTheme="minorEastAsia" w:cstheme="minorEastAsia"/>
          <w:kern w:val="2"/>
          <w:sz w:val="24"/>
          <w:szCs w:val="24"/>
          <w:highlight w:val="none"/>
          <w:lang w:val="en-US" w:eastAsia="zh-CN" w:bidi="ar-SA"/>
        </w:rPr>
      </w:pPr>
    </w:p>
    <w:p>
      <w:pPr>
        <w:pStyle w:val="5"/>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eastAsia"/>
          <w:lang w:val="en-US" w:eastAsia="zh-CN"/>
        </w:rPr>
      </w:pPr>
      <w:r>
        <w:rPr>
          <w:rFonts w:hint="eastAsia" w:ascii="仿宋_GB2312" w:hAnsi="仿宋_GB2312" w:eastAsia="仿宋_GB2312" w:cs="仿宋_GB2312"/>
          <w:sz w:val="24"/>
          <w:szCs w:val="24"/>
        </w:rPr>
        <w:drawing>
          <wp:inline distT="0" distB="0" distL="114300" distR="114300">
            <wp:extent cx="4502150" cy="2720340"/>
            <wp:effectExtent l="0" t="0" r="8890" b="7620"/>
            <wp:docPr id="3"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IMG_256"/>
                    <pic:cNvPicPr>
                      <a:picLocks noChangeAspect="1"/>
                    </pic:cNvPicPr>
                  </pic:nvPicPr>
                  <pic:blipFill>
                    <a:blip r:embed="rId17"/>
                    <a:srcRect t="9516" r="122"/>
                    <a:stretch>
                      <a:fillRect/>
                    </a:stretch>
                  </pic:blipFill>
                  <pic:spPr>
                    <a:xfrm>
                      <a:off x="0" y="0"/>
                      <a:ext cx="4502150" cy="2720340"/>
                    </a:xfrm>
                    <a:prstGeom prst="rect">
                      <a:avLst/>
                    </a:prstGeom>
                    <a:noFill/>
                    <a:ln w="9525">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center"/>
        <w:textAlignment w:val="auto"/>
        <w:rPr>
          <w:rFonts w:hint="eastAsia" w:asciiTheme="minorEastAsia" w:hAnsiTheme="minorEastAsia" w:eastAsiaTheme="minorEastAsia" w:cstheme="minorEastAsia"/>
          <w:kern w:val="2"/>
          <w:sz w:val="21"/>
          <w:szCs w:val="21"/>
          <w:highlight w:val="none"/>
          <w:lang w:val="en-US" w:eastAsia="zh-CN" w:bidi="ar-SA"/>
        </w:rPr>
      </w:pPr>
      <w:r>
        <w:rPr>
          <w:rFonts w:hint="eastAsia" w:asciiTheme="minorEastAsia" w:hAnsiTheme="minorEastAsia" w:eastAsiaTheme="minorEastAsia" w:cstheme="minorEastAsia"/>
          <w:kern w:val="2"/>
          <w:sz w:val="21"/>
          <w:szCs w:val="21"/>
          <w:highlight w:val="none"/>
          <w:lang w:val="en-US" w:eastAsia="zh-CN" w:bidi="ar-SA"/>
        </w:rPr>
        <w:t xml:space="preserve">图10 </w:t>
      </w:r>
      <w:r>
        <w:rPr>
          <w:rFonts w:hint="eastAsia" w:asciiTheme="minorEastAsia" w:hAnsiTheme="minorEastAsia" w:eastAsiaTheme="minorEastAsia" w:cstheme="minorEastAsia"/>
          <w:sz w:val="21"/>
          <w:szCs w:val="21"/>
          <w:lang w:eastAsia="zh-CN"/>
        </w:rPr>
        <w:t>余村印象大型艺术设计作品展</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黑体" w:hAnsi="黑体" w:eastAsia="黑体" w:cs="黑体"/>
          <w:kern w:val="2"/>
          <w:sz w:val="24"/>
          <w:szCs w:val="24"/>
          <w:highlight w:val="none"/>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heme="minorEastAsia" w:hAnsiTheme="minorEastAsia" w:eastAsiaTheme="minorEastAsia" w:cstheme="minorEastAsia"/>
          <w:kern w:val="2"/>
          <w:sz w:val="24"/>
          <w:szCs w:val="24"/>
          <w:highlight w:val="none"/>
          <w:lang w:val="en-US" w:eastAsia="zh-CN" w:bidi="ar-SA"/>
        </w:rPr>
      </w:pPr>
      <w:r>
        <w:rPr>
          <w:rFonts w:hint="eastAsia" w:ascii="黑体" w:hAnsi="黑体" w:eastAsia="黑体" w:cs="黑体"/>
          <w:kern w:val="2"/>
          <w:sz w:val="24"/>
          <w:szCs w:val="24"/>
          <w:highlight w:val="none"/>
          <w:lang w:val="en-US" w:eastAsia="zh-CN" w:bidi="ar-SA"/>
        </w:rPr>
        <w:t>校园文化打造好环境。</w:t>
      </w:r>
      <w:r>
        <w:rPr>
          <w:rFonts w:hint="eastAsia" w:asciiTheme="minorEastAsia" w:hAnsiTheme="minorEastAsia" w:eastAsiaTheme="minorEastAsia" w:cstheme="minorEastAsia"/>
          <w:kern w:val="2"/>
          <w:sz w:val="24"/>
          <w:szCs w:val="24"/>
          <w:highlight w:val="none"/>
          <w:lang w:val="en-US" w:eastAsia="zh-CN" w:bidi="ar-SA"/>
        </w:rPr>
        <w:t>实施“暖心工程”“成长学院”“四季歌行”工作，组织开展西塞山论剑科技节、产教城育才共富节、“诗画新湖州”桃花节、廉政最后一课、“书记话成长”等系列活动150余场次。通过打造文化活动阵地，持续深化《新生始业教育“彩虹计划”》“情暖湖子 爱筑家园”暖心工程，举办“福满四季”文化节，丰富学生校园文化生活。以省级语言文字推广基地为平台，推动宋韵“湖学”文化传承与推广，进一步擦亮湖州“天下宋词之州”文化金名片，引导学生坚定文化自信。</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heme="minorEastAsia" w:hAnsiTheme="minorEastAsia" w:eastAsiaTheme="minorEastAsia" w:cstheme="minorEastAsia"/>
          <w:kern w:val="2"/>
          <w:sz w:val="24"/>
          <w:szCs w:val="24"/>
          <w:highlight w:val="none"/>
          <w:lang w:val="en-US" w:eastAsia="zh-CN" w:bidi="ar-SA"/>
        </w:rPr>
      </w:pPr>
    </w:p>
    <w:p>
      <w:pPr>
        <w:pStyle w:val="5"/>
        <w:keepNext w:val="0"/>
        <w:keepLines w:val="0"/>
        <w:pageBreakBefore w:val="0"/>
        <w:widowControl w:val="0"/>
        <w:kinsoku/>
        <w:wordWrap/>
        <w:overflowPunct/>
        <w:topLinePunct w:val="0"/>
        <w:autoSpaceDE/>
        <w:autoSpaceDN/>
        <w:bidi w:val="0"/>
        <w:adjustRightInd/>
        <w:snapToGrid/>
        <w:ind w:left="0" w:leftChars="0"/>
        <w:jc w:val="center"/>
        <w:textAlignment w:val="auto"/>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kern w:val="0"/>
          <w:sz w:val="21"/>
          <w:szCs w:val="21"/>
          <w:lang w:bidi="ar"/>
        </w:rPr>
        <w:drawing>
          <wp:anchor distT="0" distB="0" distL="114300" distR="114300" simplePos="0" relativeHeight="251661312" behindDoc="0" locked="0" layoutInCell="1" allowOverlap="1">
            <wp:simplePos x="0" y="0"/>
            <wp:positionH relativeFrom="column">
              <wp:posOffset>295275</wp:posOffset>
            </wp:positionH>
            <wp:positionV relativeFrom="paragraph">
              <wp:posOffset>10160</wp:posOffset>
            </wp:positionV>
            <wp:extent cx="4627245" cy="2603500"/>
            <wp:effectExtent l="0" t="0" r="5715" b="2540"/>
            <wp:wrapTopAndBottom/>
            <wp:docPr id="6" name="图片 6" descr="Z:/备份/同步盘/四季歌行/桃花节/2024人文湖州/美丽中国白鹭创城1.jpg美丽中国白鹭创城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Z:/备份/同步盘/四季歌行/桃花节/2024人文湖州/美丽中国白鹭创城1.jpg美丽中国白鹭创城1"/>
                    <pic:cNvPicPr>
                      <a:picLocks noChangeAspect="1"/>
                    </pic:cNvPicPr>
                  </pic:nvPicPr>
                  <pic:blipFill>
                    <a:blip r:embed="rId18"/>
                    <a:srcRect t="7821" b="7821"/>
                    <a:stretch>
                      <a:fillRect/>
                    </a:stretch>
                  </pic:blipFill>
                  <pic:spPr>
                    <a:xfrm>
                      <a:off x="0" y="0"/>
                      <a:ext cx="4627245" cy="2603500"/>
                    </a:xfrm>
                    <a:prstGeom prst="rect">
                      <a:avLst/>
                    </a:prstGeom>
                  </pic:spPr>
                </pic:pic>
              </a:graphicData>
            </a:graphic>
          </wp:anchor>
        </w:drawing>
      </w:r>
      <w:r>
        <w:rPr>
          <w:rFonts w:hint="eastAsia" w:asciiTheme="minorEastAsia" w:hAnsiTheme="minorEastAsia" w:eastAsiaTheme="minorEastAsia" w:cstheme="minorEastAsia"/>
          <w:sz w:val="21"/>
          <w:szCs w:val="21"/>
          <w:lang w:val="en-US" w:eastAsia="zh-CN"/>
        </w:rPr>
        <w:t>图11 “人文湖州 白鹭创城”桃花节</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黑体" w:hAnsi="黑体" w:eastAsia="黑体" w:cs="黑体"/>
          <w:kern w:val="2"/>
          <w:sz w:val="24"/>
          <w:szCs w:val="24"/>
          <w:highlight w:val="none"/>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heme="minorEastAsia" w:hAnsiTheme="minorEastAsia" w:eastAsiaTheme="minorEastAsia" w:cstheme="minorEastAsia"/>
          <w:kern w:val="2"/>
          <w:sz w:val="24"/>
          <w:szCs w:val="24"/>
          <w:highlight w:val="none"/>
          <w:lang w:val="en-US" w:eastAsia="zh-CN" w:bidi="ar-SA"/>
        </w:rPr>
      </w:pPr>
      <w:r>
        <w:rPr>
          <w:rFonts w:hint="eastAsia" w:ascii="黑体" w:hAnsi="黑体" w:eastAsia="黑体" w:cs="黑体"/>
          <w:kern w:val="2"/>
          <w:sz w:val="24"/>
          <w:szCs w:val="24"/>
          <w:highlight w:val="none"/>
          <w:lang w:val="en-US" w:eastAsia="zh-CN" w:bidi="ar-SA"/>
        </w:rPr>
        <w:t>日常教育管理服务齐发力。</w:t>
      </w:r>
      <w:r>
        <w:rPr>
          <w:rFonts w:hint="eastAsia" w:asciiTheme="minorEastAsia" w:hAnsiTheme="minorEastAsia" w:eastAsiaTheme="minorEastAsia" w:cstheme="minorEastAsia"/>
          <w:kern w:val="2"/>
          <w:sz w:val="24"/>
          <w:szCs w:val="24"/>
          <w:highlight w:val="none"/>
          <w:lang w:val="en-US" w:eastAsia="zh-CN" w:bidi="ar-SA"/>
        </w:rPr>
        <w:t>通过树立先进典型，评选出2022-2023学年10个优良学风班、22个文明班级，营造“争先创优”、比学赶超的良好校园风气。对接学生成长需求，成立“Egret Great”“白鹭助飞”英语、数学互助学习训练营，助力学生成长成才。《“助行熠梦”社会实践育才行动》获浙江省学生发展性资助培育提升项目。成立湖州市首家高校退役军人服务站，并获批“浙江省新时代枫桥式退役军人服务站”。</w:t>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0"/>
        <w:rPr>
          <w:rFonts w:hint="eastAsia" w:ascii="黑体" w:hAnsi="黑体" w:eastAsia="黑体" w:cs="黑体"/>
          <w:b w:val="0"/>
          <w:bCs w:val="0"/>
          <w:color w:val="auto"/>
          <w:kern w:val="2"/>
          <w:sz w:val="30"/>
          <w:szCs w:val="30"/>
          <w:lang w:val="en-US" w:eastAsia="zh-CN" w:bidi="ar-SA"/>
        </w:rPr>
      </w:pPr>
      <w:bookmarkStart w:id="69" w:name="_Toc1966"/>
      <w:r>
        <w:rPr>
          <w:rFonts w:hint="eastAsia" w:ascii="黑体" w:hAnsi="黑体" w:eastAsia="黑体" w:cs="黑体"/>
          <w:b w:val="0"/>
          <w:bCs w:val="0"/>
          <w:color w:val="auto"/>
          <w:kern w:val="2"/>
          <w:sz w:val="30"/>
          <w:szCs w:val="30"/>
          <w:lang w:val="en-US" w:eastAsia="zh-CN" w:bidi="ar-SA"/>
        </w:rPr>
        <w:t>八、问题与对策</w:t>
      </w:r>
      <w:bookmarkEnd w:id="69"/>
      <w:r>
        <w:rPr>
          <w:rFonts w:hint="eastAsia" w:ascii="黑体" w:hAnsi="黑体" w:eastAsia="黑体" w:cs="黑体"/>
          <w:b w:val="0"/>
          <w:bCs w:val="0"/>
          <w:color w:val="auto"/>
          <w:kern w:val="2"/>
          <w:sz w:val="30"/>
          <w:szCs w:val="30"/>
          <w:lang w:val="en-US" w:eastAsia="zh-CN" w:bidi="ar-SA"/>
        </w:rPr>
        <w:tab/>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1"/>
        <w:rPr>
          <w:rFonts w:hint="default" w:ascii="黑体" w:hAnsi="黑体" w:eastAsia="黑体" w:cs="黑体"/>
          <w:b w:val="0"/>
          <w:bCs w:val="0"/>
          <w:color w:val="auto"/>
          <w:kern w:val="2"/>
          <w:sz w:val="28"/>
          <w:szCs w:val="28"/>
          <w:lang w:val="en-US" w:eastAsia="zh-CN" w:bidi="ar-SA"/>
        </w:rPr>
      </w:pPr>
      <w:bookmarkStart w:id="70" w:name="_Toc12463"/>
      <w:r>
        <w:rPr>
          <w:rFonts w:hint="default" w:ascii="黑体" w:hAnsi="黑体" w:eastAsia="黑体" w:cs="黑体"/>
          <w:b w:val="0"/>
          <w:bCs w:val="0"/>
          <w:color w:val="auto"/>
          <w:kern w:val="2"/>
          <w:sz w:val="28"/>
          <w:szCs w:val="28"/>
          <w:lang w:val="en-US" w:eastAsia="zh-CN" w:bidi="ar-SA"/>
        </w:rPr>
        <w:t>（一）</w:t>
      </w:r>
      <w:r>
        <w:rPr>
          <w:rFonts w:hint="eastAsia" w:ascii="黑体" w:hAnsi="黑体" w:eastAsia="黑体" w:cs="黑体"/>
          <w:b w:val="0"/>
          <w:bCs w:val="0"/>
          <w:color w:val="auto"/>
          <w:kern w:val="2"/>
          <w:sz w:val="28"/>
          <w:szCs w:val="28"/>
          <w:lang w:val="en-US" w:eastAsia="zh-CN" w:bidi="ar-SA"/>
        </w:rPr>
        <w:t>课堂教学模式需进一步创新改进</w:t>
      </w:r>
      <w:bookmarkEnd w:id="70"/>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课堂教学中部分教师</w:t>
      </w:r>
      <w:r>
        <w:rPr>
          <w:rFonts w:hint="default" w:asciiTheme="minorEastAsia" w:hAnsiTheme="minorEastAsia" w:eastAsiaTheme="minorEastAsia" w:cstheme="minorEastAsia"/>
          <w:kern w:val="2"/>
          <w:sz w:val="24"/>
          <w:szCs w:val="24"/>
          <w:highlight w:val="none"/>
          <w:lang w:val="en-US" w:eastAsia="zh-CN" w:bidi="ar-SA"/>
        </w:rPr>
        <w:t>教学方法较为单一，项目教学、案例教学、工作过程导向等教学模式的运用比例</w:t>
      </w:r>
      <w:r>
        <w:rPr>
          <w:rFonts w:hint="eastAsia" w:asciiTheme="minorEastAsia" w:hAnsiTheme="minorEastAsia" w:eastAsiaTheme="minorEastAsia" w:cstheme="minorEastAsia"/>
          <w:kern w:val="2"/>
          <w:sz w:val="24"/>
          <w:szCs w:val="24"/>
          <w:highlight w:val="none"/>
          <w:lang w:val="en-US" w:eastAsia="zh-CN" w:bidi="ar-SA"/>
        </w:rPr>
        <w:t>有待提高</w:t>
      </w:r>
      <w:r>
        <w:rPr>
          <w:rFonts w:hint="default" w:asciiTheme="minorEastAsia" w:hAnsiTheme="minorEastAsia" w:eastAsiaTheme="minorEastAsia" w:cstheme="minorEastAsia"/>
          <w:kern w:val="2"/>
          <w:sz w:val="24"/>
          <w:szCs w:val="24"/>
          <w:highlight w:val="none"/>
          <w:lang w:val="en-US" w:eastAsia="zh-CN" w:bidi="ar-SA"/>
        </w:rPr>
        <w:t>。</w:t>
      </w:r>
      <w:r>
        <w:rPr>
          <w:rFonts w:hint="eastAsia" w:asciiTheme="minorEastAsia" w:hAnsiTheme="minorEastAsia" w:eastAsiaTheme="minorEastAsia" w:cstheme="minorEastAsia"/>
          <w:kern w:val="2"/>
          <w:sz w:val="24"/>
          <w:szCs w:val="24"/>
          <w:highlight w:val="none"/>
          <w:lang w:val="en-US" w:eastAsia="zh-CN" w:bidi="ar-SA"/>
        </w:rPr>
        <w:t>部分教师</w:t>
      </w:r>
      <w:r>
        <w:rPr>
          <w:rFonts w:hint="default" w:asciiTheme="minorEastAsia" w:hAnsiTheme="minorEastAsia" w:eastAsiaTheme="minorEastAsia" w:cstheme="minorEastAsia"/>
          <w:kern w:val="2"/>
          <w:sz w:val="24"/>
          <w:szCs w:val="24"/>
          <w:highlight w:val="none"/>
          <w:lang w:val="en-US" w:eastAsia="zh-CN" w:bidi="ar-SA"/>
        </w:rPr>
        <w:t>信息技术应用能力不足，教师数智化教学意识和能力有待提高。</w:t>
      </w:r>
      <w:r>
        <w:rPr>
          <w:rFonts w:hint="eastAsia" w:asciiTheme="minorEastAsia" w:hAnsiTheme="minorEastAsia" w:eastAsiaTheme="minorEastAsia" w:cstheme="minorEastAsia"/>
          <w:kern w:val="2"/>
          <w:sz w:val="24"/>
          <w:szCs w:val="24"/>
          <w:highlight w:val="none"/>
          <w:lang w:val="en-US" w:eastAsia="zh-CN" w:bidi="ar-SA"/>
        </w:rPr>
        <w:t>下一步学校将鼓励教师</w:t>
      </w:r>
      <w:r>
        <w:rPr>
          <w:rFonts w:hint="default" w:asciiTheme="minorEastAsia" w:hAnsiTheme="minorEastAsia" w:eastAsiaTheme="minorEastAsia" w:cstheme="minorEastAsia"/>
          <w:kern w:val="2"/>
          <w:sz w:val="24"/>
          <w:szCs w:val="24"/>
          <w:highlight w:val="none"/>
          <w:lang w:val="en-US" w:eastAsia="zh-CN" w:bidi="ar-SA"/>
        </w:rPr>
        <w:t>优化课堂教学</w:t>
      </w:r>
      <w:r>
        <w:rPr>
          <w:rFonts w:hint="eastAsia" w:asciiTheme="minorEastAsia" w:hAnsiTheme="minorEastAsia" w:eastAsiaTheme="minorEastAsia" w:cstheme="minorEastAsia"/>
          <w:kern w:val="2"/>
          <w:sz w:val="24"/>
          <w:szCs w:val="24"/>
          <w:highlight w:val="none"/>
          <w:lang w:val="en-US" w:eastAsia="zh-CN" w:bidi="ar-SA"/>
        </w:rPr>
        <w:t>，</w:t>
      </w:r>
      <w:r>
        <w:rPr>
          <w:rFonts w:hint="default" w:asciiTheme="minorEastAsia" w:hAnsiTheme="minorEastAsia" w:eastAsiaTheme="minorEastAsia" w:cstheme="minorEastAsia"/>
          <w:kern w:val="2"/>
          <w:sz w:val="24"/>
          <w:szCs w:val="24"/>
          <w:highlight w:val="none"/>
          <w:lang w:val="en-US" w:eastAsia="zh-CN" w:bidi="ar-SA"/>
        </w:rPr>
        <w:t>优化课程结构和教学内容，通过大单元整体设计、项目式学习、综合实践学习等</w:t>
      </w:r>
      <w:r>
        <w:rPr>
          <w:rFonts w:hint="eastAsia" w:asciiTheme="minorEastAsia" w:hAnsiTheme="minorEastAsia" w:eastAsiaTheme="minorEastAsia" w:cstheme="minorEastAsia"/>
          <w:kern w:val="2"/>
          <w:sz w:val="24"/>
          <w:szCs w:val="24"/>
          <w:highlight w:val="none"/>
          <w:lang w:val="en-US" w:eastAsia="zh-CN" w:bidi="ar-SA"/>
        </w:rPr>
        <w:t>方式创新</w:t>
      </w:r>
      <w:r>
        <w:rPr>
          <w:rFonts w:hint="default" w:asciiTheme="minorEastAsia" w:hAnsiTheme="minorEastAsia" w:eastAsiaTheme="minorEastAsia" w:cstheme="minorEastAsia"/>
          <w:kern w:val="2"/>
          <w:sz w:val="24"/>
          <w:szCs w:val="24"/>
          <w:highlight w:val="none"/>
          <w:lang w:val="en-US" w:eastAsia="zh-CN" w:bidi="ar-SA"/>
        </w:rPr>
        <w:t>教学模式</w:t>
      </w:r>
      <w:r>
        <w:rPr>
          <w:rFonts w:hint="eastAsia" w:asciiTheme="minorEastAsia" w:hAnsiTheme="minorEastAsia" w:eastAsiaTheme="minorEastAsia" w:cstheme="minorEastAsia"/>
          <w:kern w:val="2"/>
          <w:sz w:val="24"/>
          <w:szCs w:val="24"/>
          <w:highlight w:val="none"/>
          <w:lang w:val="en-US" w:eastAsia="zh-CN" w:bidi="ar-SA"/>
        </w:rPr>
        <w:t>与</w:t>
      </w:r>
      <w:r>
        <w:rPr>
          <w:rFonts w:hint="default" w:asciiTheme="minorEastAsia" w:hAnsiTheme="minorEastAsia" w:eastAsiaTheme="minorEastAsia" w:cstheme="minorEastAsia"/>
          <w:kern w:val="2"/>
          <w:sz w:val="24"/>
          <w:szCs w:val="24"/>
          <w:highlight w:val="none"/>
          <w:lang w:val="en-US" w:eastAsia="zh-CN" w:bidi="ar-SA"/>
        </w:rPr>
        <w:t>方法</w:t>
      </w:r>
      <w:r>
        <w:rPr>
          <w:rFonts w:hint="eastAsia" w:asciiTheme="minorEastAsia" w:hAnsiTheme="minorEastAsia" w:eastAsiaTheme="minorEastAsia" w:cstheme="minorEastAsia"/>
          <w:kern w:val="2"/>
          <w:sz w:val="24"/>
          <w:szCs w:val="24"/>
          <w:highlight w:val="none"/>
          <w:lang w:val="en-US" w:eastAsia="zh-CN" w:bidi="ar-SA"/>
        </w:rPr>
        <w:t>。学校将强化培训</w:t>
      </w:r>
      <w:r>
        <w:rPr>
          <w:rFonts w:hint="default" w:asciiTheme="minorEastAsia" w:hAnsiTheme="minorEastAsia" w:eastAsiaTheme="minorEastAsia" w:cstheme="minorEastAsia"/>
          <w:kern w:val="2"/>
          <w:sz w:val="24"/>
          <w:szCs w:val="24"/>
          <w:highlight w:val="none"/>
          <w:lang w:val="en-US" w:eastAsia="zh-CN" w:bidi="ar-SA"/>
        </w:rPr>
        <w:t>提升教师的信息技术应用能力，加强人工智能技术与教育教学的融合</w:t>
      </w:r>
      <w:r>
        <w:rPr>
          <w:rFonts w:hint="eastAsia" w:asciiTheme="minorEastAsia" w:hAnsiTheme="minorEastAsia" w:eastAsiaTheme="minorEastAsia" w:cstheme="minorEastAsia"/>
          <w:kern w:val="2"/>
          <w:sz w:val="24"/>
          <w:szCs w:val="24"/>
          <w:highlight w:val="none"/>
          <w:lang w:val="en-US" w:eastAsia="zh-CN" w:bidi="ar-SA"/>
        </w:rPr>
        <w:t>，</w:t>
      </w:r>
      <w:r>
        <w:rPr>
          <w:rFonts w:hint="default" w:asciiTheme="minorEastAsia" w:hAnsiTheme="minorEastAsia" w:eastAsiaTheme="minorEastAsia" w:cstheme="minorEastAsia"/>
          <w:kern w:val="2"/>
          <w:sz w:val="24"/>
          <w:szCs w:val="24"/>
          <w:highlight w:val="none"/>
          <w:lang w:val="en-US" w:eastAsia="zh-CN" w:bidi="ar-SA"/>
        </w:rPr>
        <w:t>鼓励教师在课堂教学中充分利用人工智能技术，进行个性化教学方案设计，</w:t>
      </w:r>
      <w:r>
        <w:rPr>
          <w:rFonts w:hint="eastAsia" w:asciiTheme="minorEastAsia" w:hAnsiTheme="minorEastAsia" w:eastAsiaTheme="minorEastAsia" w:cstheme="minorEastAsia"/>
          <w:kern w:val="2"/>
          <w:sz w:val="24"/>
          <w:szCs w:val="24"/>
          <w:highlight w:val="none"/>
          <w:lang w:val="en-US" w:eastAsia="zh-CN" w:bidi="ar-SA"/>
        </w:rPr>
        <w:t>丰富课程教学资源，有效提升课堂教学质量</w:t>
      </w:r>
      <w:r>
        <w:rPr>
          <w:rFonts w:hint="default" w:asciiTheme="minorEastAsia" w:hAnsiTheme="minorEastAsia" w:eastAsiaTheme="minorEastAsia" w:cstheme="minorEastAsia"/>
          <w:kern w:val="2"/>
          <w:sz w:val="24"/>
          <w:szCs w:val="24"/>
          <w:highlight w:val="none"/>
          <w:lang w:val="en-US" w:eastAsia="zh-CN" w:bidi="ar-SA"/>
        </w:rPr>
        <w:t>。</w:t>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1"/>
        <w:rPr>
          <w:rFonts w:hint="eastAsia" w:ascii="黑体" w:hAnsi="黑体" w:eastAsia="黑体" w:cs="黑体"/>
          <w:b w:val="0"/>
          <w:bCs w:val="0"/>
          <w:color w:val="auto"/>
          <w:kern w:val="2"/>
          <w:sz w:val="24"/>
          <w:szCs w:val="24"/>
          <w:lang w:val="en-US" w:eastAsia="zh-CN" w:bidi="ar-SA"/>
        </w:rPr>
      </w:pPr>
      <w:bookmarkStart w:id="71" w:name="_Toc21537"/>
      <w:r>
        <w:rPr>
          <w:rFonts w:hint="eastAsia" w:ascii="黑体" w:hAnsi="黑体" w:eastAsia="黑体" w:cs="黑体"/>
          <w:b w:val="0"/>
          <w:bCs w:val="0"/>
          <w:color w:val="auto"/>
          <w:kern w:val="2"/>
          <w:sz w:val="28"/>
          <w:szCs w:val="28"/>
          <w:lang w:val="en-US" w:eastAsia="zh-CN" w:bidi="ar-SA"/>
        </w:rPr>
        <w:t>（二）办学基础条件需进一步扩量提质</w:t>
      </w:r>
      <w:bookmarkEnd w:id="71"/>
      <w:r>
        <w:rPr>
          <w:rFonts w:hint="eastAsia" w:ascii="黑体" w:hAnsi="黑体" w:eastAsia="黑体" w:cs="黑体"/>
          <w:b w:val="0"/>
          <w:bCs w:val="0"/>
          <w:color w:val="auto"/>
          <w:kern w:val="2"/>
          <w:sz w:val="24"/>
          <w:szCs w:val="24"/>
          <w:lang w:val="en-US" w:eastAsia="zh-CN" w:bidi="ar-SA"/>
        </w:rPr>
        <w:tab/>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eastAsiaTheme="minorEastAsia" w:cstheme="minorEastAsia"/>
          <w:kern w:val="2"/>
          <w:sz w:val="24"/>
          <w:szCs w:val="24"/>
          <w:highlight w:val="none"/>
          <w:lang w:val="en-US" w:eastAsia="zh-CN" w:bidi="ar-SA"/>
        </w:rPr>
      </w:pPr>
      <w:r>
        <w:rPr>
          <w:rFonts w:hint="eastAsia" w:asciiTheme="minorEastAsia" w:hAnsiTheme="minorEastAsia" w:eastAsiaTheme="minorEastAsia" w:cstheme="minorEastAsia"/>
          <w:kern w:val="2"/>
          <w:sz w:val="24"/>
          <w:szCs w:val="24"/>
          <w:highlight w:val="none"/>
          <w:lang w:val="en-US" w:eastAsia="zh-CN" w:bidi="ar-SA"/>
        </w:rPr>
        <w:t>新校园整体搬迁前，学校办学资源短缺，教学实验场地、学生宿舍床位、实验仪器设备、图书资料等均较紧张。在市委、市政府大力支持下，学校新校园建设加快推进，新校园规划用地1004亩，总投资约37.3亿元，建筑面积36.367万平方米，建成后可容纳学生13000人。学校成功获批国家“教育强国”项目，中央和地方财政支持经费2.7亿元，用于建设工程训练中心，服务于教学科研。目前新校园工程项目已经全面结顶，正处在装饰装修施工阶段。2025年8月将入驻新校园，届时学校办学条件将实现质的飞跃。</w:t>
      </w:r>
    </w:p>
    <w:p>
      <w:pPr>
        <w:keepNext w:val="0"/>
        <w:keepLines w:val="0"/>
        <w:pageBreakBefore w:val="0"/>
        <w:widowControl w:val="0"/>
        <w:kinsoku/>
        <w:wordWrap/>
        <w:overflowPunct/>
        <w:topLinePunct w:val="0"/>
        <w:autoSpaceDE/>
        <w:autoSpaceDN/>
        <w:bidi w:val="0"/>
        <w:adjustRightInd/>
        <w:snapToGrid/>
        <w:spacing w:line="240" w:lineRule="auto"/>
        <w:textAlignment w:val="auto"/>
        <w:outlineLvl w:val="1"/>
        <w:rPr>
          <w:rFonts w:hint="eastAsia" w:ascii="黑体" w:hAnsi="黑体" w:eastAsia="黑体" w:cs="黑体"/>
          <w:b w:val="0"/>
          <w:bCs w:val="0"/>
          <w:color w:val="auto"/>
          <w:kern w:val="2"/>
          <w:sz w:val="28"/>
          <w:szCs w:val="28"/>
          <w:lang w:val="en-US" w:eastAsia="zh-CN" w:bidi="ar-SA"/>
        </w:rPr>
      </w:pPr>
      <w:bookmarkStart w:id="72" w:name="_Toc16213"/>
      <w:r>
        <w:rPr>
          <w:rFonts w:hint="eastAsia" w:ascii="黑体" w:hAnsi="黑体" w:eastAsia="黑体" w:cs="黑体"/>
          <w:b w:val="0"/>
          <w:bCs w:val="0"/>
          <w:color w:val="auto"/>
          <w:kern w:val="2"/>
          <w:sz w:val="28"/>
          <w:szCs w:val="28"/>
          <w:lang w:val="en-US" w:eastAsia="zh-CN" w:bidi="ar-SA"/>
        </w:rPr>
        <w:t>（三）质量保障体系需进一步健全完善</w:t>
      </w:r>
      <w:bookmarkEnd w:id="72"/>
      <w:r>
        <w:rPr>
          <w:rFonts w:hint="eastAsia" w:ascii="黑体" w:hAnsi="黑体" w:eastAsia="黑体" w:cs="黑体"/>
          <w:b w:val="0"/>
          <w:bCs w:val="0"/>
          <w:color w:val="auto"/>
          <w:kern w:val="2"/>
          <w:sz w:val="28"/>
          <w:szCs w:val="28"/>
          <w:lang w:val="en-US" w:eastAsia="zh-CN" w:bidi="ar-SA"/>
        </w:rPr>
        <w:tab/>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kern w:val="2"/>
          <w:sz w:val="24"/>
          <w:szCs w:val="24"/>
          <w:highlight w:val="none"/>
          <w:lang w:val="en-US" w:eastAsia="zh-CN" w:bidi="ar-SA"/>
        </w:rPr>
        <w:t>目前学校在本科教学质量保障队伍建设、主要教学环节质量标准建设、常态化质量监控与反馈、奖励机制等方面已持续开展相关工作，取得了较好的成效。但在独立的质量保障机构设置，职能部门、二级学院与专业层面质量保障有效运行，课堂教学质量监控信息化等方面还需持续建设与完善。下阶段学校将以设立教学质量监控与评估中心为契机，统筹全校教学质量保障工作，完善教学质量保障管理制度，加强教学质量保障专职队伍建设，进一步压实校、院、专业三级质量保障管理闭环，形成自觉、自省、自律、自查、自纠的质量文化。</w:t>
      </w:r>
    </w:p>
    <w:sectPr>
      <w:footerReference r:id="rId5" w:type="default"/>
      <w:pgSz w:w="11906" w:h="16838"/>
      <w:pgMar w:top="1440"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_GB2312">
    <w:panose1 w:val="02010609030101010101"/>
    <w:charset w:val="86"/>
    <w:family w:val="auto"/>
    <w:pitch w:val="default"/>
    <w:sig w:usb0="00000001" w:usb1="080E0000" w:usb2="00000000" w:usb3="00000000" w:csb0="00040000" w:csb1="00000000"/>
  </w:font>
  <w:font w:name="方正小标宋简体">
    <w:panose1 w:val="03000509000000000000"/>
    <w:charset w:val="86"/>
    <w:family w:val="auto"/>
    <w:pitch w:val="default"/>
    <w:sig w:usb0="00000001" w:usb1="080E0000" w:usb2="00000000" w:usb3="00000000" w:csb0="00040000" w:csb1="00000000"/>
  </w:font>
  <w:font w:name="仿宋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bfDwky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t8PCTICAABjBAAADgAAAAAAAAABACAAAAAfAQAAZHJzL2Uyb0RvYy54bWxQSwUG&#10;AAAAAAYABgBZAQAAwwU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30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EhxuI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ESHG4jICAABjBAAADgAAAAAAAAABACAAAAAfAQAAZHJzL2Uyb0RvYy54bWxQSwUG&#10;AAAAAAYABgBZAQAAwwU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30</w:t>
                    </w:r>
                    <w:r>
                      <w:fldChar w:fldCharType="end"/>
                    </w:r>
                  </w:p>
                </w:txbxContent>
              </v:textbox>
            </v:shape>
          </w:pict>
        </mc:Fallback>
      </mc:AlternateContent>
    </w: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ZTTZk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5lNNmTICAABjBAAADgAAAAAAAAABACAAAAAfAQAAZHJzL2Uyb0RvYy54bWxQSwUG&#10;AAAAAAYABgBZAQAAwwUAAAAA&#10;">
              <v:fill on="f" focussize="0,0"/>
              <v:stroke on="f" weight="0.5pt"/>
              <v:imagedata o:title=""/>
              <o:lock v:ext="edit" aspectratio="f"/>
              <v:textbox inset="0mm,0mm,0mm,0mm" style="mso-fit-shape-to-text:t;">
                <w:txbxContent>
                  <w:p>
                    <w:pPr>
                      <w:pStyle w:val="7"/>
                    </w:pPr>
                  </w:p>
                </w:txbxContent>
              </v:textbox>
            </v:shape>
          </w:pict>
        </mc:Fallback>
      </mc:AlternateContent>
    </w: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T72nYy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SYphGxU8/vp9+&#10;Ppx+fSM4g0CNCzPE3TtExvadbRE8nAccJt5t5XX6ghGBH/IeL/KKNhKeLk0n02kOF4dv2AA/e7zu&#10;fIjvhdUkGQX1qF8nKztsQuxDh5CUzdi1VKqroTKkKejV6z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pPvadjICAABjBAAADgAAAAAAAAABACAAAAAfAQAAZHJzL2Uyb0RvYy54bWxQSwUG&#10;AAAAAAYABgBZAQAAwwUAAAAA&#10;">
              <v:fill on="f" focussize="0,0"/>
              <v:stroke on="f" weight="0.5pt"/>
              <v:imagedata o:title=""/>
              <o:lock v:ext="edit" aspectratio="f"/>
              <v:textbox inset="0mm,0mm,0mm,0mm" style="mso-fit-shape-to-text:t;">
                <w:txbxContent>
                  <w:p>
                    <w:pPr>
                      <w:pStyle w:val="7"/>
                    </w:pP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single" w:color="auto" w:sz="4" w:space="1"/>
      </w:pBdr>
    </w:pPr>
    <w:r>
      <w:drawing>
        <wp:inline distT="0" distB="0" distL="114300" distR="114300">
          <wp:extent cx="1382395" cy="422910"/>
          <wp:effectExtent l="0" t="0" r="4445" b="3810"/>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
                  <a:stretch>
                    <a:fillRect/>
                  </a:stretch>
                </pic:blipFill>
                <pic:spPr>
                  <a:xfrm>
                    <a:off x="0" y="0"/>
                    <a:ext cx="1382395" cy="422910"/>
                  </a:xfrm>
                  <a:prstGeom prst="rect">
                    <a:avLst/>
                  </a:prstGeom>
                  <a:noFill/>
                  <a:ln>
                    <a:noFill/>
                  </a:ln>
                </pic:spPr>
              </pic:pic>
            </a:graphicData>
          </a:graphic>
        </wp:inline>
      </w:drawing>
    </w:r>
    <w:r>
      <w:rPr>
        <w:rFonts w:hint="eastAsia"/>
        <w:lang w:val="en-US" w:eastAsia="zh-CN"/>
      </w:rPr>
      <w:t xml:space="preserve">                             </w:t>
    </w:r>
    <w:r>
      <w:rPr>
        <w:rFonts w:hint="default" w:ascii="Times New Roman" w:hAnsi="Times New Roman" w:cs="Times New Roman" w:eastAsiaTheme="minorEastAsia"/>
        <w:color w:val="auto"/>
        <w:sz w:val="24"/>
        <w:szCs w:val="24"/>
      </w:rPr>
      <w:t>202</w:t>
    </w:r>
    <w:r>
      <w:rPr>
        <w:rFonts w:hint="eastAsia" w:ascii="Times New Roman" w:hAnsi="Times New Roman" w:cs="Times New Roman" w:eastAsiaTheme="minorEastAsia"/>
        <w:color w:val="auto"/>
        <w:sz w:val="24"/>
        <w:szCs w:val="24"/>
        <w:lang w:val="en-US" w:eastAsia="zh-CN"/>
      </w:rPr>
      <w:t>3</w:t>
    </w:r>
    <w:r>
      <w:rPr>
        <w:rFonts w:hint="default" w:ascii="Times New Roman" w:hAnsi="Times New Roman" w:cs="Times New Roman" w:eastAsiaTheme="minorEastAsia"/>
        <w:color w:val="auto"/>
        <w:sz w:val="24"/>
        <w:szCs w:val="24"/>
      </w:rPr>
      <w:t>-202</w:t>
    </w:r>
    <w:r>
      <w:rPr>
        <w:rFonts w:hint="eastAsia" w:ascii="Times New Roman" w:hAnsi="Times New Roman" w:cs="Times New Roman" w:eastAsiaTheme="minorEastAsia"/>
        <w:color w:val="auto"/>
        <w:sz w:val="24"/>
        <w:szCs w:val="24"/>
        <w:lang w:val="en-US" w:eastAsia="zh-CN"/>
      </w:rPr>
      <w:t>4</w:t>
    </w:r>
    <w:r>
      <w:rPr>
        <w:rFonts w:hint="default" w:ascii="Times New Roman" w:hAnsi="Times New Roman" w:cs="Times New Roman" w:eastAsiaTheme="minorEastAsia"/>
        <w:color w:val="auto"/>
        <w:sz w:val="24"/>
        <w:szCs w:val="24"/>
      </w:rPr>
      <w:t>学年本科教学质量报告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3EF995E"/>
    <w:multiLevelType w:val="singleLevel"/>
    <w:tmpl w:val="C3EF995E"/>
    <w:lvl w:ilvl="0" w:tentative="0">
      <w:start w:val="3"/>
      <w:numFmt w:val="chineseCounting"/>
      <w:suff w:val="nothing"/>
      <w:lvlText w:val="（%1）"/>
      <w:lvlJc w:val="left"/>
      <w:rPr>
        <w:rFonts w:hint="eastAsia"/>
      </w:rPr>
    </w:lvl>
  </w:abstractNum>
  <w:abstractNum w:abstractNumId="1">
    <w:nsid w:val="00000004"/>
    <w:multiLevelType w:val="multilevel"/>
    <w:tmpl w:val="00000004"/>
    <w:lvl w:ilvl="0" w:tentative="0">
      <w:start w:val="1"/>
      <w:numFmt w:val="chineseCounting"/>
      <w:suff w:val="nothing"/>
      <w:lvlText w:val="%1、"/>
      <w:lvlJc w:val="left"/>
      <w:pPr>
        <w:ind w:left="0" w:firstLine="0"/>
      </w:pPr>
      <w:rPr>
        <w:rFonts w:hint="eastAsia"/>
      </w:rPr>
    </w:lvl>
    <w:lvl w:ilvl="1" w:tentative="0">
      <w:start w:val="1"/>
      <w:numFmt w:val="chineseCounting"/>
      <w:pStyle w:val="3"/>
      <w:suff w:val="nothing"/>
      <w:lvlText w:val="（%2）"/>
      <w:lvlJc w:val="left"/>
      <w:pPr>
        <w:ind w:left="0" w:firstLine="0"/>
      </w:pPr>
      <w:rPr>
        <w:rFonts w:hint="eastAsia"/>
      </w:rPr>
    </w:lvl>
    <w:lvl w:ilvl="2" w:tentative="0">
      <w:start w:val="1"/>
      <w:numFmt w:val="decimal"/>
      <w:suff w:val="nothing"/>
      <w:lvlText w:val="%3．"/>
      <w:lvlJc w:val="left"/>
      <w:pPr>
        <w:ind w:left="0" w:firstLine="400"/>
      </w:pPr>
      <w:rPr>
        <w:rFonts w:hint="eastAsia"/>
      </w:rPr>
    </w:lvl>
    <w:lvl w:ilvl="3" w:tentative="0">
      <w:start w:val="1"/>
      <w:numFmt w:val="decimal"/>
      <w:suff w:val="nothing"/>
      <w:lvlText w:val="（%4）"/>
      <w:lvlJc w:val="left"/>
      <w:pPr>
        <w:ind w:left="0" w:firstLine="402"/>
      </w:pPr>
      <w:rPr>
        <w:rFonts w:hint="eastAsia"/>
      </w:rPr>
    </w:lvl>
    <w:lvl w:ilvl="4" w:tentative="0">
      <w:start w:val="1"/>
      <w:numFmt w:val="decimalEnclosedCircleChinese"/>
      <w:suff w:val="nothing"/>
      <w:lvlText w:val="%5"/>
      <w:lvlJc w:val="left"/>
      <w:pPr>
        <w:ind w:left="0" w:firstLine="402"/>
      </w:pPr>
      <w:rPr>
        <w:rFonts w:hint="eastAsia"/>
      </w:rPr>
    </w:lvl>
    <w:lvl w:ilvl="5" w:tentative="0">
      <w:start w:val="1"/>
      <w:numFmt w:val="decimal"/>
      <w:suff w:val="nothing"/>
      <w:lvlText w:val="%6）"/>
      <w:lvlJc w:val="left"/>
      <w:pPr>
        <w:ind w:left="0" w:firstLine="402"/>
      </w:pPr>
      <w:rPr>
        <w:rFonts w:hint="eastAsia"/>
      </w:rPr>
    </w:lvl>
    <w:lvl w:ilvl="6" w:tentative="0">
      <w:start w:val="1"/>
      <w:numFmt w:val="lowerLetter"/>
      <w:suff w:val="nothing"/>
      <w:lvlText w:val="%7．"/>
      <w:lvlJc w:val="left"/>
      <w:pPr>
        <w:ind w:left="0" w:firstLine="402"/>
      </w:pPr>
      <w:rPr>
        <w:rFonts w:hint="eastAsia"/>
      </w:rPr>
    </w:lvl>
    <w:lvl w:ilvl="7" w:tentative="0">
      <w:start w:val="1"/>
      <w:numFmt w:val="lowerLetter"/>
      <w:suff w:val="nothing"/>
      <w:lvlText w:val="%8）"/>
      <w:lvlJc w:val="left"/>
      <w:pPr>
        <w:ind w:left="0" w:firstLine="402"/>
      </w:pPr>
      <w:rPr>
        <w:rFonts w:hint="eastAsia"/>
      </w:rPr>
    </w:lvl>
    <w:lvl w:ilvl="8" w:tentative="0">
      <w:start w:val="1"/>
      <w:numFmt w:val="lowerRoman"/>
      <w:suff w:val="nothing"/>
      <w:lvlText w:val="%9 "/>
      <w:lvlJc w:val="left"/>
      <w:pPr>
        <w:ind w:left="0" w:firstLine="402"/>
      </w:pPr>
      <w:rPr>
        <w:rFonts w:hint="eastAsia"/>
      </w:rPr>
    </w:lvl>
  </w:abstractNum>
  <w:abstractNum w:abstractNumId="2">
    <w:nsid w:val="05A66A9B"/>
    <w:multiLevelType w:val="singleLevel"/>
    <w:tmpl w:val="05A66A9B"/>
    <w:lvl w:ilvl="0" w:tentative="0">
      <w:start w:val="1"/>
      <w:numFmt w:val="chineseCounting"/>
      <w:suff w:val="nothing"/>
      <w:lvlText w:val="%1、"/>
      <w:lvlJc w:val="left"/>
      <w:rPr>
        <w:rFonts w:hint="eastAsia"/>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Y5YTQyMjkyNDI2NDE2M2I0MzRmMGExZTY2Nzg3MmYifQ=="/>
  </w:docVars>
  <w:rsids>
    <w:rsidRoot w:val="5A787E7C"/>
    <w:rsid w:val="00245594"/>
    <w:rsid w:val="002B06D1"/>
    <w:rsid w:val="00B0116F"/>
    <w:rsid w:val="00DE1AF0"/>
    <w:rsid w:val="00E92928"/>
    <w:rsid w:val="00EB1BD5"/>
    <w:rsid w:val="010C3237"/>
    <w:rsid w:val="016043AA"/>
    <w:rsid w:val="01E519E4"/>
    <w:rsid w:val="01FD609D"/>
    <w:rsid w:val="02225B04"/>
    <w:rsid w:val="02285560"/>
    <w:rsid w:val="022D7A21"/>
    <w:rsid w:val="024617F2"/>
    <w:rsid w:val="02C963AC"/>
    <w:rsid w:val="03280EF8"/>
    <w:rsid w:val="03EF5EB9"/>
    <w:rsid w:val="045F55CE"/>
    <w:rsid w:val="047C2CAB"/>
    <w:rsid w:val="048F4139"/>
    <w:rsid w:val="04904FA7"/>
    <w:rsid w:val="04A46CA4"/>
    <w:rsid w:val="04E25861"/>
    <w:rsid w:val="053A3164"/>
    <w:rsid w:val="05410997"/>
    <w:rsid w:val="0591547A"/>
    <w:rsid w:val="0596116E"/>
    <w:rsid w:val="05A975D7"/>
    <w:rsid w:val="06473D8B"/>
    <w:rsid w:val="06591FC7"/>
    <w:rsid w:val="06C37E5B"/>
    <w:rsid w:val="06CA4402"/>
    <w:rsid w:val="06FC6923"/>
    <w:rsid w:val="073F1480"/>
    <w:rsid w:val="078C7E18"/>
    <w:rsid w:val="07B0770E"/>
    <w:rsid w:val="07C94DF8"/>
    <w:rsid w:val="07D7113E"/>
    <w:rsid w:val="07F678DD"/>
    <w:rsid w:val="087A3A7B"/>
    <w:rsid w:val="08896599"/>
    <w:rsid w:val="08C406AD"/>
    <w:rsid w:val="08E71169"/>
    <w:rsid w:val="08F25E2B"/>
    <w:rsid w:val="091E5277"/>
    <w:rsid w:val="0939508E"/>
    <w:rsid w:val="09896468"/>
    <w:rsid w:val="09F331CD"/>
    <w:rsid w:val="0A0570B4"/>
    <w:rsid w:val="0A286C44"/>
    <w:rsid w:val="0A6D4643"/>
    <w:rsid w:val="0A9041BA"/>
    <w:rsid w:val="0AA07F0D"/>
    <w:rsid w:val="0AB3379D"/>
    <w:rsid w:val="0AC9403F"/>
    <w:rsid w:val="0B140B2A"/>
    <w:rsid w:val="0B3B060A"/>
    <w:rsid w:val="0B7E6392"/>
    <w:rsid w:val="0BF6089B"/>
    <w:rsid w:val="0C4F0058"/>
    <w:rsid w:val="0C6519D1"/>
    <w:rsid w:val="0C855A96"/>
    <w:rsid w:val="0C8E0DFD"/>
    <w:rsid w:val="0CC223BD"/>
    <w:rsid w:val="0CD502CD"/>
    <w:rsid w:val="0D2224FC"/>
    <w:rsid w:val="0D430B40"/>
    <w:rsid w:val="0D466B4A"/>
    <w:rsid w:val="0D4903E8"/>
    <w:rsid w:val="0D7654B4"/>
    <w:rsid w:val="0DE143BF"/>
    <w:rsid w:val="0DF20A80"/>
    <w:rsid w:val="0E586DFA"/>
    <w:rsid w:val="0EB50909"/>
    <w:rsid w:val="0F0C1BA3"/>
    <w:rsid w:val="0F1A4192"/>
    <w:rsid w:val="0F9E6550"/>
    <w:rsid w:val="0FA91612"/>
    <w:rsid w:val="0FDE4045"/>
    <w:rsid w:val="1010135C"/>
    <w:rsid w:val="102D3FF1"/>
    <w:rsid w:val="10BE0149"/>
    <w:rsid w:val="110C00AB"/>
    <w:rsid w:val="11164A85"/>
    <w:rsid w:val="111D18A9"/>
    <w:rsid w:val="112B06EC"/>
    <w:rsid w:val="1146319E"/>
    <w:rsid w:val="118B5473"/>
    <w:rsid w:val="11D60E14"/>
    <w:rsid w:val="12747CB6"/>
    <w:rsid w:val="128C78CC"/>
    <w:rsid w:val="12995C93"/>
    <w:rsid w:val="129B0E7C"/>
    <w:rsid w:val="12E065FF"/>
    <w:rsid w:val="12E200AE"/>
    <w:rsid w:val="12E806A4"/>
    <w:rsid w:val="13051255"/>
    <w:rsid w:val="137361BF"/>
    <w:rsid w:val="13A422E8"/>
    <w:rsid w:val="13A520F1"/>
    <w:rsid w:val="13F82B68"/>
    <w:rsid w:val="14B44CE1"/>
    <w:rsid w:val="152879E7"/>
    <w:rsid w:val="15632263"/>
    <w:rsid w:val="15CE1DD3"/>
    <w:rsid w:val="16070E41"/>
    <w:rsid w:val="162D447D"/>
    <w:rsid w:val="164D0F7B"/>
    <w:rsid w:val="165E3157"/>
    <w:rsid w:val="1743234C"/>
    <w:rsid w:val="17504BE7"/>
    <w:rsid w:val="17A916A3"/>
    <w:rsid w:val="17D024A4"/>
    <w:rsid w:val="17E5229C"/>
    <w:rsid w:val="183A54FD"/>
    <w:rsid w:val="184F676E"/>
    <w:rsid w:val="188F53F8"/>
    <w:rsid w:val="19083B7F"/>
    <w:rsid w:val="191F70E8"/>
    <w:rsid w:val="194143A3"/>
    <w:rsid w:val="19481E9C"/>
    <w:rsid w:val="19D11E91"/>
    <w:rsid w:val="19EB2765"/>
    <w:rsid w:val="1A7E355A"/>
    <w:rsid w:val="1ABD7257"/>
    <w:rsid w:val="1AE43B4E"/>
    <w:rsid w:val="1B132036"/>
    <w:rsid w:val="1B60171F"/>
    <w:rsid w:val="1BA50EE0"/>
    <w:rsid w:val="1BB81D45"/>
    <w:rsid w:val="1BC81072"/>
    <w:rsid w:val="1C313E51"/>
    <w:rsid w:val="1C424981"/>
    <w:rsid w:val="1C5A72A7"/>
    <w:rsid w:val="1C5C34E3"/>
    <w:rsid w:val="1C703FCA"/>
    <w:rsid w:val="1C936EBB"/>
    <w:rsid w:val="1CA67605"/>
    <w:rsid w:val="1CC01E43"/>
    <w:rsid w:val="1CE9353F"/>
    <w:rsid w:val="1CFE1F1F"/>
    <w:rsid w:val="1D0166DE"/>
    <w:rsid w:val="1D942B07"/>
    <w:rsid w:val="1D9B58AA"/>
    <w:rsid w:val="1DD208E9"/>
    <w:rsid w:val="1E3968B9"/>
    <w:rsid w:val="1E5170FD"/>
    <w:rsid w:val="1E9265DA"/>
    <w:rsid w:val="1ED036FA"/>
    <w:rsid w:val="1F002738"/>
    <w:rsid w:val="1F0346AA"/>
    <w:rsid w:val="1F1C1B35"/>
    <w:rsid w:val="1F3F33F9"/>
    <w:rsid w:val="1FA46C02"/>
    <w:rsid w:val="1FAA64A1"/>
    <w:rsid w:val="1FC45AFF"/>
    <w:rsid w:val="20144886"/>
    <w:rsid w:val="2063580D"/>
    <w:rsid w:val="20A420C2"/>
    <w:rsid w:val="20BE0858"/>
    <w:rsid w:val="20F904A9"/>
    <w:rsid w:val="21027150"/>
    <w:rsid w:val="221E29B4"/>
    <w:rsid w:val="222F59A7"/>
    <w:rsid w:val="224C47AB"/>
    <w:rsid w:val="22521696"/>
    <w:rsid w:val="227B299A"/>
    <w:rsid w:val="229771F9"/>
    <w:rsid w:val="22AD188F"/>
    <w:rsid w:val="22FF181D"/>
    <w:rsid w:val="236457F1"/>
    <w:rsid w:val="2396093F"/>
    <w:rsid w:val="23E72DCD"/>
    <w:rsid w:val="23F01166"/>
    <w:rsid w:val="24205FEE"/>
    <w:rsid w:val="24466FD8"/>
    <w:rsid w:val="246F2D79"/>
    <w:rsid w:val="24725CBE"/>
    <w:rsid w:val="24DB0068"/>
    <w:rsid w:val="250A0FB5"/>
    <w:rsid w:val="25174393"/>
    <w:rsid w:val="252C3B2C"/>
    <w:rsid w:val="25323BFF"/>
    <w:rsid w:val="259D70CC"/>
    <w:rsid w:val="25DF0E96"/>
    <w:rsid w:val="260B04D9"/>
    <w:rsid w:val="268B161A"/>
    <w:rsid w:val="26C47666"/>
    <w:rsid w:val="26E825C8"/>
    <w:rsid w:val="270F3098"/>
    <w:rsid w:val="27457A1B"/>
    <w:rsid w:val="279B3ADF"/>
    <w:rsid w:val="27C972C5"/>
    <w:rsid w:val="27CA4289"/>
    <w:rsid w:val="2855312A"/>
    <w:rsid w:val="28736EE4"/>
    <w:rsid w:val="289E04E5"/>
    <w:rsid w:val="28D948BF"/>
    <w:rsid w:val="29253660"/>
    <w:rsid w:val="293833C1"/>
    <w:rsid w:val="295348C1"/>
    <w:rsid w:val="295D54F0"/>
    <w:rsid w:val="2A0702B9"/>
    <w:rsid w:val="2A495A74"/>
    <w:rsid w:val="2A53301B"/>
    <w:rsid w:val="2A6E0937"/>
    <w:rsid w:val="2A916318"/>
    <w:rsid w:val="2AAF1A65"/>
    <w:rsid w:val="2AB65664"/>
    <w:rsid w:val="2BCE7FDF"/>
    <w:rsid w:val="2BF06382"/>
    <w:rsid w:val="2BFD6B0F"/>
    <w:rsid w:val="2C26403D"/>
    <w:rsid w:val="2C73237D"/>
    <w:rsid w:val="2C981AA5"/>
    <w:rsid w:val="2D5F2813"/>
    <w:rsid w:val="2D7D7F0E"/>
    <w:rsid w:val="2D984D48"/>
    <w:rsid w:val="2DD804DD"/>
    <w:rsid w:val="2DEF06E0"/>
    <w:rsid w:val="2DF16206"/>
    <w:rsid w:val="2E0D3181"/>
    <w:rsid w:val="2E20286F"/>
    <w:rsid w:val="2E884DBD"/>
    <w:rsid w:val="2E96683C"/>
    <w:rsid w:val="2EA37836"/>
    <w:rsid w:val="2EE12BF7"/>
    <w:rsid w:val="2F150D5A"/>
    <w:rsid w:val="2F5E6C67"/>
    <w:rsid w:val="2F642A08"/>
    <w:rsid w:val="2F750D73"/>
    <w:rsid w:val="2F9E416C"/>
    <w:rsid w:val="2FA269EB"/>
    <w:rsid w:val="2FBE3C9F"/>
    <w:rsid w:val="2FD22068"/>
    <w:rsid w:val="2FD933F6"/>
    <w:rsid w:val="302E54F0"/>
    <w:rsid w:val="304C67A7"/>
    <w:rsid w:val="30532F8E"/>
    <w:rsid w:val="30C62CA1"/>
    <w:rsid w:val="3119121A"/>
    <w:rsid w:val="3140788E"/>
    <w:rsid w:val="31412C53"/>
    <w:rsid w:val="31723B02"/>
    <w:rsid w:val="31DE28C8"/>
    <w:rsid w:val="31E85B72"/>
    <w:rsid w:val="31EC4AD5"/>
    <w:rsid w:val="324303D8"/>
    <w:rsid w:val="32905887"/>
    <w:rsid w:val="32BC29C5"/>
    <w:rsid w:val="32D5443E"/>
    <w:rsid w:val="32F32A21"/>
    <w:rsid w:val="33244988"/>
    <w:rsid w:val="332A758A"/>
    <w:rsid w:val="33406744"/>
    <w:rsid w:val="337F6063"/>
    <w:rsid w:val="33B81125"/>
    <w:rsid w:val="33C03D19"/>
    <w:rsid w:val="347D0201"/>
    <w:rsid w:val="34845F36"/>
    <w:rsid w:val="34BA4DB4"/>
    <w:rsid w:val="34C60084"/>
    <w:rsid w:val="34DB19BE"/>
    <w:rsid w:val="35322CF1"/>
    <w:rsid w:val="355157DD"/>
    <w:rsid w:val="35A115C3"/>
    <w:rsid w:val="35AD1F67"/>
    <w:rsid w:val="35DE5975"/>
    <w:rsid w:val="36BD4C8C"/>
    <w:rsid w:val="36CC7811"/>
    <w:rsid w:val="36D44917"/>
    <w:rsid w:val="36F823B4"/>
    <w:rsid w:val="37434A56"/>
    <w:rsid w:val="3748158D"/>
    <w:rsid w:val="37572811"/>
    <w:rsid w:val="375810A4"/>
    <w:rsid w:val="376B08EB"/>
    <w:rsid w:val="37786A56"/>
    <w:rsid w:val="381476C1"/>
    <w:rsid w:val="38AE3341"/>
    <w:rsid w:val="38B55073"/>
    <w:rsid w:val="39137979"/>
    <w:rsid w:val="39A93E39"/>
    <w:rsid w:val="39C17812"/>
    <w:rsid w:val="39F23F8B"/>
    <w:rsid w:val="3A5169AB"/>
    <w:rsid w:val="3A79380C"/>
    <w:rsid w:val="3A9F35EE"/>
    <w:rsid w:val="3ACF30AA"/>
    <w:rsid w:val="3B2D675A"/>
    <w:rsid w:val="3B341444"/>
    <w:rsid w:val="3B8D290C"/>
    <w:rsid w:val="3BAE2310"/>
    <w:rsid w:val="3BCF572C"/>
    <w:rsid w:val="3C4B567C"/>
    <w:rsid w:val="3C6337F7"/>
    <w:rsid w:val="3C6B3628"/>
    <w:rsid w:val="3D0107F3"/>
    <w:rsid w:val="3D0F27F8"/>
    <w:rsid w:val="3D84116E"/>
    <w:rsid w:val="3DA423BE"/>
    <w:rsid w:val="3DAF5796"/>
    <w:rsid w:val="3E22485E"/>
    <w:rsid w:val="3E503401"/>
    <w:rsid w:val="3E522CF1"/>
    <w:rsid w:val="3EBE0387"/>
    <w:rsid w:val="3ECF60F0"/>
    <w:rsid w:val="3ED0735F"/>
    <w:rsid w:val="3F7D3D9E"/>
    <w:rsid w:val="3F850EA5"/>
    <w:rsid w:val="3FC90A51"/>
    <w:rsid w:val="3FD1321D"/>
    <w:rsid w:val="3FF80758"/>
    <w:rsid w:val="40291830"/>
    <w:rsid w:val="40572841"/>
    <w:rsid w:val="40720A3C"/>
    <w:rsid w:val="409B6CE3"/>
    <w:rsid w:val="40E63BC5"/>
    <w:rsid w:val="41227A9B"/>
    <w:rsid w:val="419F1ECD"/>
    <w:rsid w:val="41F3581E"/>
    <w:rsid w:val="42A212C2"/>
    <w:rsid w:val="42B07FE6"/>
    <w:rsid w:val="42CD18B8"/>
    <w:rsid w:val="42CE66BF"/>
    <w:rsid w:val="42F06635"/>
    <w:rsid w:val="43423764"/>
    <w:rsid w:val="4436276D"/>
    <w:rsid w:val="447211D8"/>
    <w:rsid w:val="451332F6"/>
    <w:rsid w:val="454D7D6F"/>
    <w:rsid w:val="462C11BE"/>
    <w:rsid w:val="46BC5553"/>
    <w:rsid w:val="46C027C2"/>
    <w:rsid w:val="46E17AD9"/>
    <w:rsid w:val="4714323A"/>
    <w:rsid w:val="474451A1"/>
    <w:rsid w:val="48FA0C22"/>
    <w:rsid w:val="492E5E12"/>
    <w:rsid w:val="49503B5F"/>
    <w:rsid w:val="49966125"/>
    <w:rsid w:val="49A32653"/>
    <w:rsid w:val="49D310A2"/>
    <w:rsid w:val="4A020EFA"/>
    <w:rsid w:val="4A47498A"/>
    <w:rsid w:val="4AA86E3C"/>
    <w:rsid w:val="4AB17690"/>
    <w:rsid w:val="4ABD7744"/>
    <w:rsid w:val="4AF01898"/>
    <w:rsid w:val="4B47120F"/>
    <w:rsid w:val="4BC945A0"/>
    <w:rsid w:val="4C1117AA"/>
    <w:rsid w:val="4C1214F2"/>
    <w:rsid w:val="4C2555A1"/>
    <w:rsid w:val="4C670475"/>
    <w:rsid w:val="4CB37020"/>
    <w:rsid w:val="4CBD3A2C"/>
    <w:rsid w:val="4CD91D9B"/>
    <w:rsid w:val="4D0E07A8"/>
    <w:rsid w:val="4D602609"/>
    <w:rsid w:val="4D6D657F"/>
    <w:rsid w:val="4D7A10AC"/>
    <w:rsid w:val="4DA92202"/>
    <w:rsid w:val="4DBC30BE"/>
    <w:rsid w:val="4DD219B6"/>
    <w:rsid w:val="4E26511A"/>
    <w:rsid w:val="4E546612"/>
    <w:rsid w:val="4E9D44DC"/>
    <w:rsid w:val="4EA418F5"/>
    <w:rsid w:val="4EB52150"/>
    <w:rsid w:val="4EB90223"/>
    <w:rsid w:val="4EC866B8"/>
    <w:rsid w:val="4EC93527"/>
    <w:rsid w:val="4ED211A4"/>
    <w:rsid w:val="4EF70D4B"/>
    <w:rsid w:val="4F7C6680"/>
    <w:rsid w:val="4F8627FB"/>
    <w:rsid w:val="4FB2448A"/>
    <w:rsid w:val="500F0A42"/>
    <w:rsid w:val="5010055E"/>
    <w:rsid w:val="5024027B"/>
    <w:rsid w:val="50C40974"/>
    <w:rsid w:val="51142088"/>
    <w:rsid w:val="51426BF5"/>
    <w:rsid w:val="514E559A"/>
    <w:rsid w:val="51595CED"/>
    <w:rsid w:val="51793C73"/>
    <w:rsid w:val="51C07A87"/>
    <w:rsid w:val="52232583"/>
    <w:rsid w:val="52377DDC"/>
    <w:rsid w:val="52B73925"/>
    <w:rsid w:val="52D17F8D"/>
    <w:rsid w:val="53A331BB"/>
    <w:rsid w:val="53B86CFB"/>
    <w:rsid w:val="53F71F19"/>
    <w:rsid w:val="54153EF4"/>
    <w:rsid w:val="54210D44"/>
    <w:rsid w:val="549C661D"/>
    <w:rsid w:val="54A45BF1"/>
    <w:rsid w:val="54D20290"/>
    <w:rsid w:val="54DE6C1B"/>
    <w:rsid w:val="553A1CDD"/>
    <w:rsid w:val="554A1287"/>
    <w:rsid w:val="557430F6"/>
    <w:rsid w:val="559519EA"/>
    <w:rsid w:val="565C42B5"/>
    <w:rsid w:val="56694C24"/>
    <w:rsid w:val="567D18C7"/>
    <w:rsid w:val="56FA762A"/>
    <w:rsid w:val="570404A9"/>
    <w:rsid w:val="57471EBA"/>
    <w:rsid w:val="57711FE2"/>
    <w:rsid w:val="5799473D"/>
    <w:rsid w:val="57F76B67"/>
    <w:rsid w:val="57F83C74"/>
    <w:rsid w:val="58491D7F"/>
    <w:rsid w:val="58515970"/>
    <w:rsid w:val="58521F03"/>
    <w:rsid w:val="58885FF3"/>
    <w:rsid w:val="58B3335B"/>
    <w:rsid w:val="58D4083A"/>
    <w:rsid w:val="59075CB4"/>
    <w:rsid w:val="59643016"/>
    <w:rsid w:val="598558D1"/>
    <w:rsid w:val="599E43EE"/>
    <w:rsid w:val="59D620C4"/>
    <w:rsid w:val="59F3758D"/>
    <w:rsid w:val="5A221372"/>
    <w:rsid w:val="5A4E03B9"/>
    <w:rsid w:val="5A787E7C"/>
    <w:rsid w:val="5B193FA5"/>
    <w:rsid w:val="5B3A7BC3"/>
    <w:rsid w:val="5B590B12"/>
    <w:rsid w:val="5B615A73"/>
    <w:rsid w:val="5B734BA4"/>
    <w:rsid w:val="5B745BFD"/>
    <w:rsid w:val="5B971A20"/>
    <w:rsid w:val="5C321615"/>
    <w:rsid w:val="5D2B2C34"/>
    <w:rsid w:val="5D6F71A3"/>
    <w:rsid w:val="5D7A5961"/>
    <w:rsid w:val="5DCD3CEB"/>
    <w:rsid w:val="5DCD4BFB"/>
    <w:rsid w:val="5E7F5A64"/>
    <w:rsid w:val="5EEC613B"/>
    <w:rsid w:val="5F146B7B"/>
    <w:rsid w:val="5F4B0A9D"/>
    <w:rsid w:val="5FFE018B"/>
    <w:rsid w:val="603654DD"/>
    <w:rsid w:val="60714E01"/>
    <w:rsid w:val="607E7E7F"/>
    <w:rsid w:val="60870181"/>
    <w:rsid w:val="60CF606C"/>
    <w:rsid w:val="60E47381"/>
    <w:rsid w:val="61273712"/>
    <w:rsid w:val="612E08E6"/>
    <w:rsid w:val="61677FB2"/>
    <w:rsid w:val="618D7FEE"/>
    <w:rsid w:val="61A2072D"/>
    <w:rsid w:val="61DB4C28"/>
    <w:rsid w:val="61E80B95"/>
    <w:rsid w:val="61F21F72"/>
    <w:rsid w:val="62097D29"/>
    <w:rsid w:val="62DA00CF"/>
    <w:rsid w:val="62E7433D"/>
    <w:rsid w:val="630C2BBF"/>
    <w:rsid w:val="63332842"/>
    <w:rsid w:val="633D2EAF"/>
    <w:rsid w:val="638B2438"/>
    <w:rsid w:val="638E7A78"/>
    <w:rsid w:val="63D0463C"/>
    <w:rsid w:val="648149DC"/>
    <w:rsid w:val="651D10B4"/>
    <w:rsid w:val="65651666"/>
    <w:rsid w:val="657D5D86"/>
    <w:rsid w:val="65960AB8"/>
    <w:rsid w:val="65D06126"/>
    <w:rsid w:val="65D57BE0"/>
    <w:rsid w:val="65FC5BA0"/>
    <w:rsid w:val="667449C5"/>
    <w:rsid w:val="66B612EF"/>
    <w:rsid w:val="66BE68C6"/>
    <w:rsid w:val="66D10D5B"/>
    <w:rsid w:val="66D63C10"/>
    <w:rsid w:val="66F8023E"/>
    <w:rsid w:val="670E78EA"/>
    <w:rsid w:val="678418BE"/>
    <w:rsid w:val="678E0047"/>
    <w:rsid w:val="67FB3202"/>
    <w:rsid w:val="68016A6B"/>
    <w:rsid w:val="683F52AF"/>
    <w:rsid w:val="6865105C"/>
    <w:rsid w:val="686B482C"/>
    <w:rsid w:val="691E53FA"/>
    <w:rsid w:val="693E3DA0"/>
    <w:rsid w:val="69F0323B"/>
    <w:rsid w:val="69FF522C"/>
    <w:rsid w:val="6A0740E0"/>
    <w:rsid w:val="6A1E7725"/>
    <w:rsid w:val="6A22716C"/>
    <w:rsid w:val="6A2D7FEB"/>
    <w:rsid w:val="6A4E3B07"/>
    <w:rsid w:val="6A6F5AD1"/>
    <w:rsid w:val="6A9C0CCD"/>
    <w:rsid w:val="6AA233EA"/>
    <w:rsid w:val="6AB83ED1"/>
    <w:rsid w:val="6B04338C"/>
    <w:rsid w:val="6B721206"/>
    <w:rsid w:val="6B8A321B"/>
    <w:rsid w:val="6BB66207"/>
    <w:rsid w:val="6C45101F"/>
    <w:rsid w:val="6CC72F52"/>
    <w:rsid w:val="6CC82AFB"/>
    <w:rsid w:val="6D296F93"/>
    <w:rsid w:val="6D355F38"/>
    <w:rsid w:val="6D3E42BD"/>
    <w:rsid w:val="6D7B02FF"/>
    <w:rsid w:val="6D8D7447"/>
    <w:rsid w:val="6DA85BDA"/>
    <w:rsid w:val="6DF33D83"/>
    <w:rsid w:val="6E070B39"/>
    <w:rsid w:val="6E630C7A"/>
    <w:rsid w:val="6E6733A0"/>
    <w:rsid w:val="6E8B07A7"/>
    <w:rsid w:val="6ECC1714"/>
    <w:rsid w:val="6ECE53E0"/>
    <w:rsid w:val="6F176B74"/>
    <w:rsid w:val="6F1A55EF"/>
    <w:rsid w:val="6F4656AB"/>
    <w:rsid w:val="6F505649"/>
    <w:rsid w:val="6FE1680B"/>
    <w:rsid w:val="70291255"/>
    <w:rsid w:val="70303628"/>
    <w:rsid w:val="705A7660"/>
    <w:rsid w:val="70730C37"/>
    <w:rsid w:val="70A02B99"/>
    <w:rsid w:val="70A83293"/>
    <w:rsid w:val="70BF3967"/>
    <w:rsid w:val="70CD3764"/>
    <w:rsid w:val="70D83B3E"/>
    <w:rsid w:val="70F96E79"/>
    <w:rsid w:val="712D5FA5"/>
    <w:rsid w:val="71B40FF2"/>
    <w:rsid w:val="71D074AE"/>
    <w:rsid w:val="725D6F93"/>
    <w:rsid w:val="72671D57"/>
    <w:rsid w:val="733E6DC5"/>
    <w:rsid w:val="73A020E6"/>
    <w:rsid w:val="74093408"/>
    <w:rsid w:val="74123DAE"/>
    <w:rsid w:val="747F6275"/>
    <w:rsid w:val="74F54085"/>
    <w:rsid w:val="74FA6D1C"/>
    <w:rsid w:val="753C5586"/>
    <w:rsid w:val="75ED4AD2"/>
    <w:rsid w:val="763A16BC"/>
    <w:rsid w:val="76465F91"/>
    <w:rsid w:val="7651660B"/>
    <w:rsid w:val="7664278D"/>
    <w:rsid w:val="769B62DC"/>
    <w:rsid w:val="769D4A3B"/>
    <w:rsid w:val="76D90BB3"/>
    <w:rsid w:val="76E01F41"/>
    <w:rsid w:val="76E23F0B"/>
    <w:rsid w:val="771176AF"/>
    <w:rsid w:val="77B902AB"/>
    <w:rsid w:val="785E5813"/>
    <w:rsid w:val="78B03B75"/>
    <w:rsid w:val="78E8332F"/>
    <w:rsid w:val="7A264096"/>
    <w:rsid w:val="7A345B4D"/>
    <w:rsid w:val="7A546ECE"/>
    <w:rsid w:val="7A6A04A0"/>
    <w:rsid w:val="7AB450A0"/>
    <w:rsid w:val="7ADB314B"/>
    <w:rsid w:val="7AFD0B05"/>
    <w:rsid w:val="7B0703E4"/>
    <w:rsid w:val="7B1C4E34"/>
    <w:rsid w:val="7B3A2173"/>
    <w:rsid w:val="7B3F1641"/>
    <w:rsid w:val="7B881938"/>
    <w:rsid w:val="7BB477BC"/>
    <w:rsid w:val="7BD52290"/>
    <w:rsid w:val="7C2220F4"/>
    <w:rsid w:val="7C6B6751"/>
    <w:rsid w:val="7C725D31"/>
    <w:rsid w:val="7C8617DD"/>
    <w:rsid w:val="7C8879F3"/>
    <w:rsid w:val="7CDF5054"/>
    <w:rsid w:val="7D1F7C67"/>
    <w:rsid w:val="7D5B4A17"/>
    <w:rsid w:val="7D7635FF"/>
    <w:rsid w:val="7DDC1E1B"/>
    <w:rsid w:val="7DE54E04"/>
    <w:rsid w:val="7DEE3196"/>
    <w:rsid w:val="7E2807DE"/>
    <w:rsid w:val="7E2C3CBE"/>
    <w:rsid w:val="7E2E76E1"/>
    <w:rsid w:val="7E5E5C24"/>
    <w:rsid w:val="7E71467F"/>
    <w:rsid w:val="7E93061A"/>
    <w:rsid w:val="7EBE525E"/>
    <w:rsid w:val="7EC55D44"/>
    <w:rsid w:val="7ECF2FC7"/>
    <w:rsid w:val="7F08297D"/>
    <w:rsid w:val="7F13378F"/>
    <w:rsid w:val="7F21759B"/>
    <w:rsid w:val="7F3D43D5"/>
    <w:rsid w:val="7F873A4C"/>
    <w:rsid w:val="7FAE4D02"/>
    <w:rsid w:val="7FC76394"/>
    <w:rsid w:val="BF5F005A"/>
    <w:rsid w:val="EFDE6C68"/>
    <w:rsid w:val="FEFDC426"/>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name="toc 1"/>
    <w:lsdException w:qFormat="1" w:uiPriority="39"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99"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paragraph" w:styleId="3">
    <w:name w:val="heading 2"/>
    <w:basedOn w:val="1"/>
    <w:next w:val="1"/>
    <w:qFormat/>
    <w:uiPriority w:val="0"/>
    <w:pPr>
      <w:keepNext/>
      <w:keepLines/>
      <w:numPr>
        <w:ilvl w:val="1"/>
        <w:numId w:val="1"/>
      </w:numPr>
      <w:spacing w:before="260" w:after="260" w:line="413" w:lineRule="auto"/>
      <w:outlineLvl w:val="1"/>
    </w:pPr>
    <w:rPr>
      <w:rFonts w:ascii="Arial" w:hAnsi="Arial" w:eastAsia="黑体"/>
      <w:b/>
      <w:sz w:val="32"/>
    </w:rPr>
  </w:style>
  <w:style w:type="character" w:default="1" w:styleId="14">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4">
    <w:name w:val="Body Text"/>
    <w:basedOn w:val="1"/>
    <w:qFormat/>
    <w:uiPriority w:val="99"/>
    <w:pPr>
      <w:ind w:left="121"/>
    </w:pPr>
    <w:rPr>
      <w:rFonts w:ascii="楷体_GB2312" w:hAnsi="楷体_GB2312" w:eastAsia="楷体_GB2312"/>
      <w:sz w:val="24"/>
      <w:lang w:eastAsia="en-US"/>
    </w:rPr>
  </w:style>
  <w:style w:type="paragraph" w:styleId="5">
    <w:name w:val="Body Text Indent"/>
    <w:basedOn w:val="1"/>
    <w:next w:val="6"/>
    <w:unhideWhenUsed/>
    <w:qFormat/>
    <w:uiPriority w:val="99"/>
    <w:pPr>
      <w:spacing w:after="120" w:afterAutospacing="0"/>
      <w:ind w:left="200" w:leftChars="200"/>
    </w:pPr>
  </w:style>
  <w:style w:type="paragraph" w:styleId="6">
    <w:name w:val="Body Text First Indent 2"/>
    <w:basedOn w:val="5"/>
    <w:next w:val="1"/>
    <w:unhideWhenUsed/>
    <w:qFormat/>
    <w:uiPriority w:val="99"/>
    <w:pPr>
      <w:spacing w:after="120"/>
      <w:ind w:left="200" w:leftChars="200" w:firstLine="200" w:firstLineChars="200"/>
    </w:pPr>
    <w:rPr>
      <w:sz w:val="21"/>
    </w:r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toc 1"/>
    <w:basedOn w:val="1"/>
    <w:next w:val="1"/>
    <w:semiHidden/>
    <w:unhideWhenUsed/>
    <w:qFormat/>
    <w:uiPriority w:val="39"/>
  </w:style>
  <w:style w:type="paragraph" w:styleId="10">
    <w:name w:val="toc 2"/>
    <w:basedOn w:val="1"/>
    <w:next w:val="1"/>
    <w:semiHidden/>
    <w:unhideWhenUsed/>
    <w:qFormat/>
    <w:uiPriority w:val="39"/>
    <w:pPr>
      <w:ind w:left="420" w:leftChars="200"/>
    </w:pPr>
  </w:style>
  <w:style w:type="paragraph" w:styleId="11">
    <w:name w:val="Normal (Web)"/>
    <w:basedOn w:val="1"/>
    <w:qFormat/>
    <w:uiPriority w:val="0"/>
    <w:pPr>
      <w:spacing w:before="0" w:beforeAutospacing="1" w:after="0" w:afterAutospacing="1"/>
      <w:ind w:left="0" w:right="0"/>
      <w:jc w:val="left"/>
    </w:pPr>
    <w:rPr>
      <w:kern w:val="0"/>
      <w:sz w:val="24"/>
      <w:lang w:val="en-US" w:eastAsia="zh-CN" w:bidi="ar"/>
    </w:rPr>
  </w:style>
  <w:style w:type="table" w:styleId="13">
    <w:name w:val="Table Grid"/>
    <w:basedOn w:val="12"/>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5">
    <w:name w:val="font31"/>
    <w:qFormat/>
    <w:uiPriority w:val="0"/>
    <w:rPr>
      <w:rFonts w:hint="eastAsia" w:ascii="宋体" w:hAnsi="宋体" w:eastAsia="宋体" w:cs="宋体"/>
      <w:color w:val="000000"/>
      <w:sz w:val="20"/>
      <w:szCs w:val="20"/>
      <w:u w:val="none"/>
    </w:rPr>
  </w:style>
  <w:style w:type="paragraph" w:customStyle="1" w:styleId="16">
    <w:name w:val="Default"/>
    <w:qFormat/>
    <w:uiPriority w:val="99"/>
    <w:pPr>
      <w:widowControl w:val="0"/>
      <w:autoSpaceDE w:val="0"/>
      <w:autoSpaceDN w:val="0"/>
      <w:adjustRightInd w:val="0"/>
    </w:pPr>
    <w:rPr>
      <w:rFonts w:ascii="黑体" w:hAnsi="Calibri" w:eastAsia="黑体" w:cs="黑体"/>
      <w:color w:val="000000"/>
      <w:sz w:val="24"/>
      <w:szCs w:val="24"/>
      <w:lang w:val="en-US" w:eastAsia="zh-CN" w:bidi="ar-SA"/>
    </w:rPr>
  </w:style>
  <w:style w:type="paragraph" w:styleId="17">
    <w:name w:val="List Paragraph"/>
    <w:basedOn w:val="1"/>
    <w:qFormat/>
    <w:uiPriority w:val="1"/>
    <w:pPr>
      <w:ind w:left="581" w:hanging="181"/>
    </w:pPr>
  </w:style>
  <w:style w:type="character" w:customStyle="1" w:styleId="18">
    <w:name w:val="font13"/>
    <w:basedOn w:val="14"/>
    <w:qFormat/>
    <w:uiPriority w:val="0"/>
    <w:rPr>
      <w:rFonts w:hint="eastAsia" w:ascii="宋体" w:hAnsi="宋体" w:eastAsia="宋体" w:cs="宋体"/>
      <w:b/>
      <w:color w:val="000000"/>
      <w:sz w:val="22"/>
      <w:szCs w:val="22"/>
      <w:u w:val="none"/>
    </w:rPr>
  </w:style>
  <w:style w:type="character" w:customStyle="1" w:styleId="19">
    <w:name w:val="font21"/>
    <w:basedOn w:val="14"/>
    <w:qFormat/>
    <w:uiPriority w:val="0"/>
    <w:rPr>
      <w:rFonts w:hint="eastAsia" w:ascii="宋体" w:hAnsi="宋体" w:eastAsia="宋体" w:cs="宋体"/>
      <w:color w:val="000000"/>
      <w:sz w:val="22"/>
      <w:szCs w:val="22"/>
      <w:u w:val="none"/>
    </w:rPr>
  </w:style>
  <w:style w:type="character" w:customStyle="1" w:styleId="20">
    <w:name w:val="font01"/>
    <w:basedOn w:val="14"/>
    <w:qFormat/>
    <w:uiPriority w:val="0"/>
    <w:rPr>
      <w:rFonts w:hint="eastAsia" w:ascii="宋体" w:hAnsi="宋体" w:eastAsia="宋体" w:cs="宋体"/>
      <w:color w:val="000000"/>
      <w:sz w:val="21"/>
      <w:szCs w:val="21"/>
      <w:u w:val="none"/>
    </w:rPr>
  </w:style>
  <w:style w:type="paragraph" w:customStyle="1" w:styleId="21">
    <w:name w:val="Table Paragraph"/>
    <w:basedOn w:val="1"/>
    <w:qFormat/>
    <w:uiPriority w:val="1"/>
    <w:pPr>
      <w:jc w:val="center"/>
    </w:pPr>
  </w:style>
  <w:style w:type="table" w:customStyle="1" w:styleId="22">
    <w:name w:val="Table Normal"/>
    <w:semiHidden/>
    <w:unhideWhenUsed/>
    <w:qFormat/>
    <w:uiPriority w:val="2"/>
    <w:tblPr>
      <w:tblCellMar>
        <w:top w:w="0" w:type="dxa"/>
        <w:left w:w="0" w:type="dxa"/>
        <w:bottom w:w="0" w:type="dxa"/>
        <w:right w:w="0" w:type="dxa"/>
      </w:tblCellMar>
    </w:tblPr>
  </w:style>
  <w:style w:type="paragraph" w:customStyle="1" w:styleId="23">
    <w:name w:val="WPSOffice手动目录 1"/>
    <w:qFormat/>
    <w:uiPriority w:val="0"/>
    <w:pPr>
      <w:ind w:leftChars="0"/>
    </w:pPr>
    <w:rPr>
      <w:rFonts w:ascii="Times New Roman" w:hAnsi="Times New Roman" w:eastAsia="宋体" w:cs="Times New Roman"/>
      <w:sz w:val="20"/>
      <w:szCs w:val="20"/>
    </w:rPr>
  </w:style>
  <w:style w:type="paragraph" w:customStyle="1" w:styleId="24">
    <w:name w:val="WPSOffice手动目录 2"/>
    <w:qFormat/>
    <w:uiPriority w:val="0"/>
    <w:pPr>
      <w:ind w:leftChars="200"/>
    </w:pPr>
    <w:rPr>
      <w:rFonts w:ascii="Times New Roman" w:hAnsi="Times New Roman" w:eastAsia="宋体" w:cs="Times New Roman"/>
      <w:sz w:val="20"/>
      <w:szCs w:val="20"/>
    </w:rPr>
  </w:style>
  <w:style w:type="paragraph" w:customStyle="1" w:styleId="25">
    <w:name w:val="WPSOffice手动目录 3"/>
    <w:qFormat/>
    <w:uiPriority w:val="0"/>
    <w:pPr>
      <w:ind w:leftChars="4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chart" Target="charts/chart2.xml"/><Relationship Id="rId8" Type="http://schemas.openxmlformats.org/officeDocument/2006/relationships/chart" Target="charts/chart1.xml"/><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8.jpeg"/><Relationship Id="rId17" Type="http://schemas.openxmlformats.org/officeDocument/2006/relationships/image" Target="media/image7.jpeg"/><Relationship Id="rId16" Type="http://schemas.openxmlformats.org/officeDocument/2006/relationships/image" Target="media/image6.png"/><Relationship Id="rId15" Type="http://schemas.openxmlformats.org/officeDocument/2006/relationships/image" Target="media/image5.jpeg"/><Relationship Id="rId14" Type="http://schemas.openxmlformats.org/officeDocument/2006/relationships/image" Target="media/image4.jpeg"/><Relationship Id="rId13" Type="http://schemas.openxmlformats.org/officeDocument/2006/relationships/image" Target="media/image3.jpeg"/><Relationship Id="rId12" Type="http://schemas.openxmlformats.org/officeDocument/2006/relationships/image" Target="media/image2.jpeg"/><Relationship Id="rId11" Type="http://schemas.openxmlformats.org/officeDocument/2006/relationships/chart" Target="charts/chart4.xml"/><Relationship Id="rId10" Type="http://schemas.openxmlformats.org/officeDocument/2006/relationships/chart" Target="charts/chart3.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CZY\Desktop\&#12304;&#24072;&#36164;&#25968;&#25454;&#12305;\&#26412;&#31185;&#25945;&#23398;&#36136;&#37327;&#25253;&#21578;-2024&#24180;\&#12304;&#25968;&#25454;&#21046;&#34920;&#12305;2023-2024&#23398;&#24180;&#26412;&#31185;&#25945;&#23398;&#36136;&#37327;&#25253;&#21578;.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CZY\Desktop\&#12304;&#24072;&#36164;&#25968;&#25454;&#12305;\&#26412;&#31185;&#25945;&#23398;&#36136;&#37327;&#25253;&#21578;-2024&#24180;\&#12304;&#25968;&#25454;&#21046;&#34920;&#12305;2023-2024&#23398;&#24180;&#26412;&#31185;&#25945;&#23398;&#36136;&#37327;&#25253;&#21578;.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CZY\Desktop\&#12304;&#24072;&#36164;&#25968;&#25454;&#12305;\&#26412;&#31185;&#25945;&#23398;&#36136;&#37327;&#25253;&#21578;-2024&#24180;\&#12304;&#25968;&#25454;&#21046;&#34920;&#12305;2023-2024&#23398;&#24180;&#26412;&#31185;&#25945;&#23398;&#36136;&#37327;&#25253;&#21578;.xlsx" TargetMode="External"/></Relationships>
</file>

<file path=word/charts/_rels/chart4.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oleObject" Target="file:///C:\Users\CZY\Desktop\&#12304;&#24072;&#36164;&#25968;&#25454;&#12305;\&#26412;&#31185;&#25945;&#23398;&#36136;&#37327;&#25253;&#21578;-2024&#24180;\2023-2024&#23398;&#24180;&#26412;&#31185;&#36136;&#37327;&#25253;&#21578;-&#20154;&#20107;&#22788;&#25552;&#20132;&#37096;&#20998;1115\&#12304;&#25968;&#25454;&#21046;&#34920;&#12305;2023-2024&#23398;&#24180;&#26412;&#31185;&#25945;&#23398;&#36136;&#37327;&#25253;&#21578;.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forceAA="0"/>
          <a:lstStyle/>
          <a:p>
            <a:pPr>
              <a:defRPr lang="zh-CN" sz="1260" b="1" i="0" u="none" strike="noStrike" kern="1200" cap="all" baseline="0">
                <a:ln>
                  <a:noFill/>
                </a:ln>
                <a:solidFill>
                  <a:sysClr val="windowText" lastClr="000000"/>
                </a:solidFill>
                <a:latin typeface="+mn-lt"/>
                <a:ea typeface="+mn-ea"/>
                <a:cs typeface="+mn-cs"/>
              </a:defRPr>
            </a:pPr>
            <a:r>
              <a:rPr sz="1200" b="1">
                <a:ln>
                  <a:noFill/>
                </a:ln>
                <a:solidFill>
                  <a:sysClr val="windowText" lastClr="000000"/>
                </a:solidFill>
              </a:rPr>
              <a:t>湖州学院专任教师专业技术职务分布情况</a:t>
            </a:r>
            <a:endParaRPr sz="1200" b="1">
              <a:ln>
                <a:noFill/>
              </a:ln>
              <a:solidFill>
                <a:sysClr val="windowText" lastClr="000000"/>
              </a:solidFill>
            </a:endParaRPr>
          </a:p>
        </c:rich>
      </c:tx>
      <c:layout>
        <c:manualLayout>
          <c:xMode val="edge"/>
          <c:yMode val="edge"/>
          <c:x val="0.198488241881299"/>
          <c:y val="0.00999459751485679"/>
        </c:manualLayout>
      </c:layout>
      <c:overlay val="0"/>
      <c:spPr>
        <a:noFill/>
        <a:ln>
          <a:noFill/>
        </a:ln>
        <a:effectLst/>
      </c:spPr>
    </c:title>
    <c:autoTitleDeleted val="0"/>
    <c:plotArea>
      <c:layout>
        <c:manualLayout>
          <c:layoutTarget val="inner"/>
          <c:xMode val="edge"/>
          <c:yMode val="edge"/>
          <c:x val="0.0852939639404233"/>
          <c:y val="0.195188533627343"/>
          <c:w val="0.829412072119153"/>
          <c:h val="0.689446527012128"/>
        </c:manualLayout>
      </c:layout>
      <c:pieChart>
        <c:varyColors val="1"/>
        <c:ser>
          <c:idx val="0"/>
          <c:order val="0"/>
          <c:tx>
            <c:strRef>
              <c:f>'[【数据制表】2023-2024学年本科教学质量报告.xlsx]职称表'!$C$5</c:f>
              <c:strCache>
                <c:ptCount val="1"/>
                <c:pt idx="0">
                  <c:v>人数</c:v>
                </c:pt>
              </c:strCache>
            </c:strRef>
          </c:tx>
          <c:spPr>
            <a:ln w="19050">
              <a:solidFill>
                <a:schemeClr val="bg1"/>
              </a:solidFill>
            </a:ln>
            <a:scene3d>
              <a:camera prst="orthographicFront"/>
              <a:lightRig rig="threePt" dir="t"/>
            </a:scene3d>
            <a:sp3d contourW="19050"/>
          </c:spPr>
          <c:explosion val="0"/>
          <c:dPt>
            <c:idx val="0"/>
            <c:bubble3D val="0"/>
            <c:spPr>
              <a:solidFill>
                <a:schemeClr val="accent3"/>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Pt>
            <c:idx val="1"/>
            <c:bubble3D val="0"/>
            <c:spPr>
              <a:solidFill>
                <a:schemeClr val="accent2"/>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Pt>
            <c:idx val="2"/>
            <c:bubble3D val="0"/>
            <c:spPr>
              <a:solidFill>
                <a:schemeClr val="accent1"/>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Lbls>
            <c:dLbl>
              <c:idx val="0"/>
              <c:layout>
                <c:manualLayout>
                  <c:x val="0.111142217245241"/>
                  <c:y val="0.0742841707185305"/>
                </c:manualLayout>
              </c:layout>
              <c:numFmt formatCode="General" sourceLinked="1"/>
              <c:spPr>
                <a:solidFill>
                  <a:srgbClr val="FFFFFF"/>
                </a:solidFill>
                <a:ln w="12700">
                  <a:solidFill>
                    <a:schemeClr val="accent3"/>
                  </a:solidFill>
                </a:ln>
                <a:effectLst/>
              </c:spPr>
              <c:txPr>
                <a:bodyPr rot="0" spcFirstLastPara="0" vertOverflow="ellipsis" vert="horz" wrap="square" lIns="38100" tIns="19050" rIns="38100" bIns="19050" anchor="ctr" anchorCtr="1" forceAA="0"/>
                <a:lstStyle/>
                <a:p>
                  <a:pPr>
                    <a:defRPr lang="zh-CN" sz="1050" b="1" i="0" u="none" strike="noStrike" kern="1200" baseline="0">
                      <a:ln>
                        <a:noFill/>
                      </a:ln>
                      <a:solidFill>
                        <a:sysClr val="windowText" lastClr="000000"/>
                      </a:solidFill>
                      <a:latin typeface="+mn-lt"/>
                      <a:ea typeface="+mn-ea"/>
                      <a:cs typeface="+mn-cs"/>
                    </a:defRPr>
                  </a:pPr>
                </a:p>
              </c:txPr>
              <c:dLblPos val="bestFit"/>
              <c:showLegendKey val="0"/>
              <c:showVal val="0"/>
              <c:showCatName val="1"/>
              <c:showSerName val="0"/>
              <c:showPercent val="1"/>
              <c:showBubbleSize val="0"/>
              <c:separator>
</c:separator>
              <c:extLst>
                <c:ext xmlns:c15="http://schemas.microsoft.com/office/drawing/2012/chart" uri="{CE6537A1-D6FC-4f65-9D91-7224C49458BB}">
                  <c15:layout>
                    <c:manualLayout>
                      <c:w val="0.118421052631579"/>
                      <c:h val="0.16936790923825"/>
                    </c:manualLayout>
                  </c15:layout>
                </c:ext>
              </c:extLst>
            </c:dLbl>
            <c:dLbl>
              <c:idx val="1"/>
              <c:layout/>
              <c:tx>
                <c:rich>
                  <a:bodyPr rot="0" spcFirstLastPara="0" vertOverflow="ellipsis" vert="horz" wrap="square" lIns="38100" tIns="19050" rIns="38100" bIns="19050" anchor="ctr" anchorCtr="1" forceAA="0"/>
                  <a:lstStyle/>
                  <a:p>
                    <a:pPr defTabSz="914400">
                      <a:defRPr lang="zh-CN" sz="1050" b="1" i="0" u="none" strike="noStrike" kern="1200" baseline="0">
                        <a:ln>
                          <a:noFill/>
                        </a:ln>
                        <a:solidFill>
                          <a:sysClr val="windowText" lastClr="000000"/>
                        </a:solidFill>
                        <a:latin typeface="+mn-lt"/>
                        <a:ea typeface="+mn-ea"/>
                        <a:cs typeface="+mn-cs"/>
                      </a:defRPr>
                    </a:pPr>
                    <a:r>
                      <a:rPr sz="1050"/>
                      <a:t>副高级2</a:t>
                    </a:r>
                    <a:r>
                      <a:rPr lang="en-US" altLang="zh-CN" sz="1050"/>
                      <a:t>1</a:t>
                    </a:r>
                    <a:r>
                      <a:rPr sz="1050"/>
                      <a:t>%</a:t>
                    </a:r>
                    <a:endParaRPr sz="1050"/>
                  </a:p>
                </c:rich>
              </c:tx>
              <c:numFmt formatCode="General" sourceLinked="1"/>
              <c:spPr>
                <a:solidFill>
                  <a:srgbClr val="FFFFFF"/>
                </a:solidFill>
                <a:ln w="12700">
                  <a:solidFill>
                    <a:schemeClr val="accent2"/>
                  </a:solidFill>
                </a:ln>
                <a:effectLst/>
              </c:spPr>
              <c:txPr>
                <a:bodyPr rot="0" spcFirstLastPara="0" vertOverflow="ellipsis" vert="horz" wrap="square" lIns="38100" tIns="19050" rIns="38100" bIns="19050" anchor="ctr" anchorCtr="1" forceAA="0"/>
                <a:lstStyle/>
                <a:p>
                  <a:pPr>
                    <a:defRPr lang="zh-CN" sz="1050" b="1" i="0" u="none" strike="noStrike" kern="1200" baseline="0">
                      <a:ln>
                        <a:noFill/>
                      </a:ln>
                      <a:solidFill>
                        <a:sysClr val="windowText" lastClr="000000"/>
                      </a:solidFill>
                      <a:latin typeface="+mn-lt"/>
                      <a:ea typeface="+mn-ea"/>
                      <a:cs typeface="+mn-cs"/>
                    </a:defRPr>
                  </a:pPr>
                </a:p>
              </c:txPr>
              <c:dLblPos val="outEnd"/>
              <c:showLegendKey val="0"/>
              <c:showVal val="0"/>
              <c:showCatName val="1"/>
              <c:showSerName val="0"/>
              <c:showPercent val="1"/>
              <c:showBubbleSize val="0"/>
              <c:separator>
</c:separator>
              <c:extLst>
                <c:ext xmlns:c15="http://schemas.microsoft.com/office/drawing/2012/chart" uri="{CE6537A1-D6FC-4f65-9D91-7224C49458BB}"/>
              </c:extLst>
            </c:dLbl>
            <c:dLbl>
              <c:idx val="2"/>
              <c:layout/>
              <c:tx>
                <c:rich>
                  <a:bodyPr rot="0" spcFirstLastPara="0" vertOverflow="ellipsis" vert="horz" wrap="square" lIns="38100" tIns="19050" rIns="38100" bIns="19050" anchor="ctr" anchorCtr="1" forceAA="0"/>
                  <a:lstStyle/>
                  <a:p>
                    <a:pPr defTabSz="914400">
                      <a:defRPr lang="zh-CN" sz="1050" b="1" i="0" u="none" strike="noStrike" kern="1200" baseline="0">
                        <a:ln>
                          <a:noFill/>
                        </a:ln>
                        <a:solidFill>
                          <a:sysClr val="windowText" lastClr="000000"/>
                        </a:solidFill>
                        <a:latin typeface="+mn-lt"/>
                        <a:ea typeface="+mn-ea"/>
                        <a:cs typeface="+mn-cs"/>
                      </a:defRPr>
                    </a:pPr>
                    <a:r>
                      <a:rPr sz="1050"/>
                      <a:t>中级及以下7</a:t>
                    </a:r>
                    <a:r>
                      <a:rPr lang="en-US" altLang="zh-CN" sz="1050"/>
                      <a:t>0</a:t>
                    </a:r>
                    <a:r>
                      <a:rPr sz="1050"/>
                      <a:t>%</a:t>
                    </a:r>
                    <a:endParaRPr sz="1050"/>
                  </a:p>
                </c:rich>
              </c:tx>
              <c:numFmt formatCode="General" sourceLinked="1"/>
              <c:spPr>
                <a:solidFill>
                  <a:srgbClr val="FFFFFF"/>
                </a:solidFill>
                <a:ln w="12700">
                  <a:solidFill>
                    <a:schemeClr val="accent1">
                      <a:lumMod val="75000"/>
                    </a:schemeClr>
                  </a:solidFill>
                </a:ln>
                <a:effectLst/>
              </c:spPr>
              <c:txPr>
                <a:bodyPr rot="0" spcFirstLastPara="0" vertOverflow="ellipsis" vert="horz" wrap="square" lIns="38100" tIns="19050" rIns="38100" bIns="19050" anchor="ctr" anchorCtr="1" forceAA="0"/>
                <a:lstStyle/>
                <a:p>
                  <a:pPr>
                    <a:defRPr lang="zh-CN" sz="1050" b="1" i="0" u="none" strike="noStrike" kern="1200" baseline="0">
                      <a:ln>
                        <a:noFill/>
                      </a:ln>
                      <a:solidFill>
                        <a:sysClr val="windowText" lastClr="000000"/>
                      </a:solidFill>
                      <a:latin typeface="+mn-lt"/>
                      <a:ea typeface="+mn-ea"/>
                      <a:cs typeface="+mn-cs"/>
                    </a:defRPr>
                  </a:pPr>
                </a:p>
              </c:txPr>
              <c:dLblPos val="outEnd"/>
              <c:showLegendKey val="0"/>
              <c:showVal val="0"/>
              <c:showCatName val="1"/>
              <c:showSerName val="0"/>
              <c:showPercent val="1"/>
              <c:showBubbleSize val="0"/>
              <c:separator>
</c:separator>
              <c:extLst>
                <c:ext xmlns:c15="http://schemas.microsoft.com/office/drawing/2012/chart" uri="{CE6537A1-D6FC-4f65-9D91-7224C49458BB}"/>
              </c:extLst>
            </c:dLbl>
            <c:numFmt formatCode="General" sourceLinked="1"/>
            <c:spPr>
              <a:solidFill>
                <a:srgbClr val="FFFFFF"/>
              </a:solidFill>
              <a:ln w="12700">
                <a:solidFill>
                  <a:srgbClr val="000000">
                    <a:lumMod val="65000"/>
                    <a:lumOff val="35000"/>
                  </a:srgbClr>
                </a:solidFill>
              </a:ln>
              <a:effectLst/>
            </c:spPr>
            <c:txPr>
              <a:bodyPr rot="0" spcFirstLastPara="0" vertOverflow="ellipsis" vert="horz" wrap="square" lIns="38100" tIns="19050" rIns="38100" bIns="19050" anchor="ctr" anchorCtr="1" forceAA="0"/>
              <a:lstStyle/>
              <a:p>
                <a:pPr>
                  <a:defRPr lang="zh-CN" sz="1050" b="1" i="0" u="none" strike="noStrike" kern="1200" baseline="0">
                    <a:ln>
                      <a:noFill/>
                    </a:ln>
                    <a:solidFill>
                      <a:sysClr val="windowText" lastClr="000000"/>
                    </a:solidFill>
                    <a:latin typeface="+mn-lt"/>
                    <a:ea typeface="+mn-ea"/>
                    <a:cs typeface="+mn-cs"/>
                  </a:defRPr>
                </a:pPr>
              </a:p>
            </c:txPr>
            <c:dLblPos val="outEnd"/>
            <c:showLegendKey val="0"/>
            <c:showVal val="0"/>
            <c:showCatName val="1"/>
            <c:showSerName val="0"/>
            <c:showPercent val="1"/>
            <c:showBubbleSize val="0"/>
            <c:separator>
</c:separator>
            <c:showLeaderLines val="1"/>
            <c:extLst>
              <c:ext xmlns:c15="http://schemas.microsoft.com/office/drawing/2012/chart" uri="{CE6537A1-D6FC-4f65-9D91-7224C49458BB}">
                <c15:spPr xmlns:c15="http://schemas.microsoft.com/office/drawing/2012/chart">
                  <a:prstGeom prst="roundRect">
                    <a:avLst/>
                  </a:prstGeom>
                  <a:noFill/>
                  <a:ln>
                    <a:noFill/>
                  </a:ln>
                </c15:spPr>
                <c15:layout/>
                <c15:showLeaderLines val="1"/>
                <c15:leaderLines>
                  <c:spPr>
                    <a:ln w="9525" cap="flat" cmpd="sng" algn="ctr">
                      <a:solidFill>
                        <a:schemeClr val="tx1">
                          <a:lumMod val="35000"/>
                          <a:lumOff val="65000"/>
                        </a:schemeClr>
                      </a:solidFill>
                      <a:prstDash val="solid"/>
                      <a:round/>
                    </a:ln>
                    <a:effectLst/>
                  </c:spPr>
                </c15:leaderLines>
              </c:ext>
            </c:extLst>
          </c:dLbls>
          <c:cat>
            <c:strRef>
              <c:f>'[【数据制表】2023-2024学年本科教学质量报告.xlsx]职称表'!$B$6:$B$8</c:f>
              <c:strCache>
                <c:ptCount val="3"/>
                <c:pt idx="0">
                  <c:v>正高级</c:v>
                </c:pt>
                <c:pt idx="1">
                  <c:v>副高级</c:v>
                </c:pt>
                <c:pt idx="2">
                  <c:v>中级及以下</c:v>
                </c:pt>
              </c:strCache>
            </c:strRef>
          </c:cat>
          <c:val>
            <c:numRef>
              <c:f>'[【数据制表】2023-2024学年本科教学质量报告.xlsx]职称表'!$C$6:$C$8</c:f>
              <c:numCache>
                <c:formatCode>General</c:formatCode>
                <c:ptCount val="3"/>
                <c:pt idx="0">
                  <c:v>40</c:v>
                </c:pt>
                <c:pt idx="1">
                  <c:v>85</c:v>
                </c:pt>
                <c:pt idx="2">
                  <c:v>301</c:v>
                </c:pt>
              </c:numCache>
            </c:numRef>
          </c:val>
        </c:ser>
        <c:ser>
          <c:idx val="1"/>
          <c:order val="1"/>
          <c:tx>
            <c:strRef>
              <c:f>'[【数据制表】2023-2024学年本科教学质量报告.xlsx]职称表'!$D$5</c:f>
              <c:strCache>
                <c:ptCount val="1"/>
                <c:pt idx="0">
                  <c:v>比例</c:v>
                </c:pt>
              </c:strCache>
            </c:strRef>
          </c:tx>
          <c:spPr>
            <a:ln w="19050">
              <a:solidFill>
                <a:schemeClr val="bg1"/>
              </a:solidFill>
            </a:ln>
            <a:scene3d>
              <a:camera prst="orthographicFront"/>
              <a:lightRig rig="threePt" dir="t"/>
            </a:scene3d>
            <a:sp3d contourW="19050"/>
          </c:spPr>
          <c:explosion val="0"/>
          <c:dPt>
            <c:idx val="0"/>
            <c:bubble3D val="0"/>
            <c:spPr>
              <a:solidFill>
                <a:schemeClr val="accent3"/>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Pt>
            <c:idx val="1"/>
            <c:bubble3D val="0"/>
            <c:spPr>
              <a:solidFill>
                <a:schemeClr val="accent2"/>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Pt>
            <c:idx val="2"/>
            <c:bubble3D val="0"/>
            <c:spPr>
              <a:solidFill>
                <a:schemeClr val="accent1"/>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Lbls>
            <c:numFmt formatCode="General" sourceLinked="1"/>
            <c:spPr>
              <a:noFill/>
              <a:ln>
                <a:noFill/>
              </a:ln>
              <a:effectLst/>
            </c:spPr>
            <c:txPr>
              <a:bodyPr rot="0" spcFirstLastPara="0" vertOverflow="ellipsis" vert="horz" wrap="square" lIns="38100" tIns="19050" rIns="38100" bIns="19050" anchor="ctr" anchorCtr="1"/>
              <a:lstStyle/>
              <a:p>
                <a:pPr>
                  <a:defRPr lang="zh-CN" sz="1050" b="1" i="0" u="none" strike="noStrike" kern="1200" baseline="0">
                    <a:ln>
                      <a:noFill/>
                    </a:ln>
                    <a:solidFill>
                      <a:sysClr val="windowText" lastClr="000000"/>
                    </a:solidFill>
                    <a:latin typeface="+mn-lt"/>
                    <a:ea typeface="+mn-ea"/>
                    <a:cs typeface="+mn-cs"/>
                  </a:defRPr>
                </a:pPr>
              </a:p>
            </c:txPr>
            <c:dLblPos val="outEnd"/>
            <c:showLegendKey val="0"/>
            <c:showVal val="0"/>
            <c:showCatName val="1"/>
            <c:showSerName val="0"/>
            <c:showPercent val="1"/>
            <c:showBubbleSize val="0"/>
            <c:separator>
</c:separator>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prstDash val="solid"/>
                      <a:round/>
                    </a:ln>
                    <a:effectLst/>
                  </c:spPr>
                </c15:leaderLines>
              </c:ext>
            </c:extLst>
          </c:dLbls>
          <c:cat>
            <c:strRef>
              <c:f>'[【数据制表】2023-2024学年本科教学质量报告.xlsx]职称表'!$B$6:$B$8</c:f>
              <c:strCache>
                <c:ptCount val="3"/>
                <c:pt idx="0">
                  <c:v>正高级</c:v>
                </c:pt>
                <c:pt idx="1">
                  <c:v>副高级</c:v>
                </c:pt>
                <c:pt idx="2">
                  <c:v>中级及以下</c:v>
                </c:pt>
              </c:strCache>
            </c:strRef>
          </c:cat>
          <c:val>
            <c:numRef>
              <c:f>'[【数据制表】2023-2024学年本科教学质量报告.xlsx]职称表'!$D$6:$D$8</c:f>
              <c:numCache>
                <c:formatCode>0.00%</c:formatCode>
                <c:ptCount val="3"/>
                <c:pt idx="0">
                  <c:v>0.0938967136150235</c:v>
                </c:pt>
                <c:pt idx="1">
                  <c:v>0.199530516431925</c:v>
                </c:pt>
                <c:pt idx="2">
                  <c:v>0.706572769953052</c:v>
                </c:pt>
              </c:numCache>
            </c:numRef>
          </c:val>
        </c:ser>
        <c:dLbls>
          <c:showLegendKey val="0"/>
          <c:showVal val="0"/>
          <c:showCatName val="0"/>
          <c:showSerName val="0"/>
          <c:showPercent val="1"/>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noFill/>
      <a:prstDash val="solid"/>
      <a:round/>
    </a:ln>
    <a:effectLst>
      <a:outerShdw blurRad="63500" dist="37357" dir="2700000" sx="0" sy="0" rotWithShape="0">
        <a:scrgbClr r="0" g="0" b="0"/>
      </a:outerShdw>
    </a:effectLst>
  </c:spPr>
  <c:txPr>
    <a:bodyPr/>
    <a:lstStyle/>
    <a:p>
      <a:pPr>
        <a:defRPr lang="zh-CN" sz="1050" b="1">
          <a:ln>
            <a:noFill/>
          </a:ln>
          <a:solidFill>
            <a:sysClr val="windowText" lastClr="000000"/>
          </a:solidFill>
        </a:defRPr>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forceAA="0"/>
          <a:lstStyle/>
          <a:p>
            <a:pPr defTabSz="914400">
              <a:defRPr lang="zh-CN" sz="1400" b="1" i="0" u="none" strike="noStrike" kern="1200" cap="all" baseline="0">
                <a:solidFill>
                  <a:sysClr val="windowText" lastClr="000000"/>
                </a:solidFill>
                <a:latin typeface="+mn-lt"/>
                <a:ea typeface="+mn-ea"/>
                <a:cs typeface="+mn-cs"/>
              </a:defRPr>
            </a:pPr>
            <a:r>
              <a:rPr sz="1200" b="1">
                <a:solidFill>
                  <a:sysClr val="windowText" lastClr="000000"/>
                </a:solidFill>
              </a:rPr>
              <a:t>湖州学院专任教师学历学位分布情况</a:t>
            </a:r>
            <a:endParaRPr sz="1200" b="1">
              <a:solidFill>
                <a:sysClr val="windowText" lastClr="000000"/>
              </a:solidFill>
            </a:endParaRPr>
          </a:p>
        </c:rich>
      </c:tx>
      <c:layout>
        <c:manualLayout>
          <c:xMode val="edge"/>
          <c:yMode val="edge"/>
          <c:x val="0.184007707129094"/>
          <c:y val="0.014120304998588"/>
        </c:manualLayout>
      </c:layout>
      <c:overlay val="0"/>
      <c:spPr>
        <a:noFill/>
        <a:ln>
          <a:noFill/>
        </a:ln>
        <a:effectLst/>
      </c:spPr>
    </c:title>
    <c:autoTitleDeleted val="0"/>
    <c:plotArea>
      <c:layout>
        <c:manualLayout>
          <c:layoutTarget val="inner"/>
          <c:xMode val="edge"/>
          <c:yMode val="edge"/>
          <c:x val="0.0852939639404233"/>
          <c:y val="0.195188533627343"/>
          <c:w val="0.829412072119153"/>
          <c:h val="0.689446527012128"/>
        </c:manualLayout>
      </c:layout>
      <c:pieChart>
        <c:varyColors val="1"/>
        <c:ser>
          <c:idx val="0"/>
          <c:order val="0"/>
          <c:tx>
            <c:strRef>
              <c:f>'[【数据制表】2023-2024学年本科教学质量报告.xlsx]学历学位情况'!$D$2</c:f>
              <c:strCache>
                <c:ptCount val="1"/>
                <c:pt idx="0">
                  <c:v>人数</c:v>
                </c:pt>
              </c:strCache>
            </c:strRef>
          </c:tx>
          <c:spPr>
            <a:ln w="19050">
              <a:solidFill>
                <a:schemeClr val="bg1"/>
              </a:solidFill>
            </a:ln>
            <a:scene3d>
              <a:camera prst="orthographicFront"/>
              <a:lightRig rig="threePt" dir="t"/>
            </a:scene3d>
            <a:sp3d contourW="19050"/>
          </c:spPr>
          <c:explosion val="0"/>
          <c:dPt>
            <c:idx val="0"/>
            <c:bubble3D val="0"/>
            <c:spPr>
              <a:solidFill>
                <a:schemeClr val="accent1"/>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Pt>
            <c:idx val="1"/>
            <c:bubble3D val="0"/>
            <c:spPr>
              <a:solidFill>
                <a:schemeClr val="accent2"/>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Pt>
            <c:idx val="2"/>
            <c:bubble3D val="0"/>
            <c:spPr>
              <a:solidFill>
                <a:schemeClr val="accent3"/>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Lbls>
            <c:dLbl>
              <c:idx val="0"/>
              <c:layout/>
              <c:tx>
                <c:rich>
                  <a:bodyPr rot="0" spcFirstLastPara="0" vertOverflow="ellipsis" vert="horz" wrap="square" lIns="38100" tIns="19050" rIns="38100" bIns="19050" anchor="ctr" anchorCtr="1" forceAA="0"/>
                  <a:lstStyle/>
                  <a:p>
                    <a:pPr defTabSz="914400">
                      <a:defRPr lang="zh-CN" sz="900" b="1" i="0" u="none" strike="noStrike" kern="1200" baseline="0">
                        <a:solidFill>
                          <a:sysClr val="windowText" lastClr="000000"/>
                        </a:solidFill>
                        <a:latin typeface="+mn-lt"/>
                        <a:ea typeface="+mn-ea"/>
                        <a:cs typeface="+mn-cs"/>
                      </a:defRPr>
                    </a:pPr>
                    <a:r>
                      <a:t>博士4</a:t>
                    </a:r>
                    <a:r>
                      <a:rPr lang="en-US" altLang="zh-CN"/>
                      <a:t>3</a:t>
                    </a:r>
                    <a:r>
                      <a:t>%</a:t>
                    </a:r>
                  </a:p>
                </c:rich>
              </c:tx>
              <c:numFmt formatCode="General" sourceLinked="1"/>
              <c:spPr>
                <a:solidFill>
                  <a:srgbClr val="FFFFFF"/>
                </a:solidFill>
                <a:ln w="12700">
                  <a:solidFill>
                    <a:schemeClr val="accent1">
                      <a:lumMod val="75000"/>
                    </a:schemeClr>
                  </a:solidFill>
                </a:ln>
                <a:effectLst/>
              </c:spPr>
              <c:txPr>
                <a:bodyPr rot="0" spcFirstLastPara="0" vertOverflow="ellipsis" vert="horz" wrap="square" lIns="38100" tIns="19050" rIns="38100" bIns="19050" anchor="ctr" anchorCtr="1" forceAA="0"/>
                <a:lstStyle/>
                <a:p>
                  <a:pPr>
                    <a:defRPr lang="zh-CN" sz="900" b="1" i="0" u="none" strike="noStrike" kern="1200" baseline="0">
                      <a:solidFill>
                        <a:sysClr val="windowText" lastClr="000000"/>
                      </a:solidFill>
                      <a:latin typeface="+mn-lt"/>
                      <a:ea typeface="+mn-ea"/>
                      <a:cs typeface="+mn-cs"/>
                    </a:defRPr>
                  </a:pPr>
                </a:p>
              </c:txPr>
              <c:dLblPos val="outEnd"/>
              <c:showLegendKey val="0"/>
              <c:showVal val="0"/>
              <c:showCatName val="1"/>
              <c:showSerName val="0"/>
              <c:showPercent val="1"/>
              <c:showBubbleSize val="0"/>
              <c:separator>
</c:separator>
              <c:extLst>
                <c:ext xmlns:c15="http://schemas.microsoft.com/office/drawing/2012/chart" uri="{CE6537A1-D6FC-4f65-9D91-7224C49458BB}"/>
              </c:extLst>
            </c:dLbl>
            <c:dLbl>
              <c:idx val="1"/>
              <c:layout/>
              <c:tx>
                <c:rich>
                  <a:bodyPr rot="0" spcFirstLastPara="0" vertOverflow="ellipsis" vert="horz" wrap="square" lIns="38100" tIns="19050" rIns="38100" bIns="19050" anchor="ctr" anchorCtr="1" forceAA="0"/>
                  <a:lstStyle/>
                  <a:p>
                    <a:pPr defTabSz="914400">
                      <a:defRPr lang="zh-CN" sz="900" b="1" i="0" u="none" strike="noStrike" kern="1200" baseline="0">
                        <a:solidFill>
                          <a:sysClr val="windowText" lastClr="000000"/>
                        </a:solidFill>
                        <a:latin typeface="+mn-lt"/>
                        <a:ea typeface="+mn-ea"/>
                        <a:cs typeface="+mn-cs"/>
                      </a:defRPr>
                    </a:pPr>
                    <a:r>
                      <a:t>硕士5</a:t>
                    </a:r>
                    <a:r>
                      <a:rPr lang="en-US" altLang="zh-CN"/>
                      <a:t>6</a:t>
                    </a:r>
                    <a:r>
                      <a:t>%</a:t>
                    </a:r>
                  </a:p>
                </c:rich>
              </c:tx>
              <c:numFmt formatCode="General" sourceLinked="1"/>
              <c:spPr>
                <a:solidFill>
                  <a:srgbClr val="FFFFFF"/>
                </a:solidFill>
                <a:ln w="12700">
                  <a:solidFill>
                    <a:schemeClr val="accent2">
                      <a:lumMod val="75000"/>
                    </a:schemeClr>
                  </a:solidFill>
                </a:ln>
                <a:effectLst/>
              </c:spPr>
              <c:txPr>
                <a:bodyPr rot="0" spcFirstLastPara="0" vertOverflow="ellipsis" vert="horz" wrap="square" lIns="38100" tIns="19050" rIns="38100" bIns="19050" anchor="ctr" anchorCtr="1" forceAA="0"/>
                <a:lstStyle/>
                <a:p>
                  <a:pPr>
                    <a:defRPr lang="zh-CN" sz="900" b="1" i="0" u="none" strike="noStrike" kern="1200" baseline="0">
                      <a:solidFill>
                        <a:sysClr val="windowText" lastClr="000000"/>
                      </a:solidFill>
                      <a:latin typeface="+mn-lt"/>
                      <a:ea typeface="+mn-ea"/>
                      <a:cs typeface="+mn-cs"/>
                    </a:defRPr>
                  </a:pPr>
                </a:p>
              </c:txPr>
              <c:dLblPos val="outEnd"/>
              <c:showLegendKey val="0"/>
              <c:showVal val="0"/>
              <c:showCatName val="1"/>
              <c:showSerName val="0"/>
              <c:showPercent val="1"/>
              <c:showBubbleSize val="0"/>
              <c:separator>
</c:separator>
              <c:extLst>
                <c:ext xmlns:c15="http://schemas.microsoft.com/office/drawing/2012/chart" uri="{CE6537A1-D6FC-4f65-9D91-7224C49458BB}"/>
              </c:extLst>
            </c:dLbl>
            <c:dLbl>
              <c:idx val="2"/>
              <c:layout>
                <c:manualLayout>
                  <c:x val="0.121683711279087"/>
                  <c:y val="0.0756848347924315"/>
                </c:manualLayout>
              </c:layout>
              <c:numFmt formatCode="General" sourceLinked="1"/>
              <c:spPr>
                <a:solidFill>
                  <a:srgbClr val="FFFFFF"/>
                </a:solidFill>
                <a:ln w="12700">
                  <a:solidFill>
                    <a:schemeClr val="accent3">
                      <a:lumMod val="75000"/>
                    </a:schemeClr>
                  </a:solidFill>
                </a:ln>
                <a:effectLst/>
              </c:spPr>
              <c:txPr>
                <a:bodyPr rot="0" spcFirstLastPara="0" vertOverflow="ellipsis" vert="horz" wrap="square" lIns="38100" tIns="19050" rIns="38100" bIns="19050" anchor="ctr" anchorCtr="1" forceAA="0"/>
                <a:lstStyle/>
                <a:p>
                  <a:pPr>
                    <a:defRPr lang="zh-CN" sz="900" b="1" i="0" u="none" strike="noStrike" kern="1200" baseline="0">
                      <a:solidFill>
                        <a:sysClr val="windowText" lastClr="000000"/>
                      </a:solidFill>
                      <a:latin typeface="+mn-lt"/>
                      <a:ea typeface="+mn-ea"/>
                      <a:cs typeface="+mn-cs"/>
                    </a:defRPr>
                  </a:pPr>
                </a:p>
              </c:txPr>
              <c:dLblPos val="bestFit"/>
              <c:showLegendKey val="0"/>
              <c:showVal val="0"/>
              <c:showCatName val="1"/>
              <c:showSerName val="0"/>
              <c:showPercent val="1"/>
              <c:showBubbleSize val="0"/>
              <c:separator>
</c:separator>
              <c:extLst>
                <c:ext xmlns:c15="http://schemas.microsoft.com/office/drawing/2012/chart" uri="{CE6537A1-D6FC-4f65-9D91-7224C49458BB}">
                  <c15:layout/>
                </c:ext>
              </c:extLst>
            </c:dLbl>
            <c:numFmt formatCode="General" sourceLinked="1"/>
            <c:spPr>
              <a:solidFill>
                <a:srgbClr val="FFFFFF"/>
              </a:solidFill>
              <a:ln w="12700">
                <a:solidFill>
                  <a:srgbClr val="000000">
                    <a:lumMod val="65000"/>
                    <a:lumOff val="35000"/>
                  </a:srgbClr>
                </a:solidFill>
              </a:ln>
              <a:effectLst/>
            </c:spPr>
            <c:txPr>
              <a:bodyPr rot="0" spcFirstLastPara="0" vertOverflow="ellipsis" vert="horz" wrap="square" lIns="38100" tIns="19050" rIns="38100" bIns="19050" anchor="ctr" anchorCtr="1" forceAA="0"/>
              <a:lstStyle/>
              <a:p>
                <a:pPr>
                  <a:defRPr lang="zh-CN" sz="900" b="1" i="0" u="none" strike="noStrike" kern="1200" baseline="0">
                    <a:solidFill>
                      <a:sysClr val="windowText" lastClr="000000"/>
                    </a:solidFill>
                    <a:latin typeface="+mn-lt"/>
                    <a:ea typeface="+mn-ea"/>
                    <a:cs typeface="+mn-cs"/>
                  </a:defRPr>
                </a:pPr>
              </a:p>
            </c:txPr>
            <c:dLblPos val="outEnd"/>
            <c:showLegendKey val="0"/>
            <c:showVal val="0"/>
            <c:showCatName val="1"/>
            <c:showSerName val="0"/>
            <c:showPercent val="1"/>
            <c:showBubbleSize val="0"/>
            <c:separator>
</c:separator>
            <c:showLeaderLines val="1"/>
            <c:extLst>
              <c:ext xmlns:c15="http://schemas.microsoft.com/office/drawing/2012/chart" uri="{CE6537A1-D6FC-4f65-9D91-7224C49458BB}">
                <c15:spPr xmlns:c15="http://schemas.microsoft.com/office/drawing/2012/chart">
                  <a:prstGeom prst="roundRect">
                    <a:avLst/>
                  </a:prstGeom>
                  <a:noFill/>
                  <a:ln>
                    <a:noFill/>
                  </a:ln>
                </c15:spPr>
                <c15:layout/>
                <c15:showLeaderLines val="1"/>
                <c15:leaderLines>
                  <c:spPr>
                    <a:ln w="9525" cap="flat" cmpd="sng" algn="ctr">
                      <a:solidFill>
                        <a:schemeClr val="tx1">
                          <a:lumMod val="35000"/>
                          <a:lumOff val="65000"/>
                        </a:schemeClr>
                      </a:solidFill>
                      <a:prstDash val="solid"/>
                      <a:round/>
                    </a:ln>
                    <a:effectLst/>
                  </c:spPr>
                </c15:leaderLines>
              </c:ext>
            </c:extLst>
          </c:dLbls>
          <c:cat>
            <c:strRef>
              <c:f>'[【数据制表】2023-2024学年本科教学质量报告.xlsx]学历学位情况'!$C$3:$C$5</c:f>
              <c:strCache>
                <c:ptCount val="3"/>
                <c:pt idx="0">
                  <c:v>博士</c:v>
                </c:pt>
                <c:pt idx="1">
                  <c:v>硕士</c:v>
                </c:pt>
                <c:pt idx="2">
                  <c:v>其他</c:v>
                </c:pt>
              </c:strCache>
            </c:strRef>
          </c:cat>
          <c:val>
            <c:numRef>
              <c:f>'[【数据制表】2023-2024学年本科教学质量报告.xlsx]学历学位情况'!$D$3:$D$5</c:f>
              <c:numCache>
                <c:formatCode>General</c:formatCode>
                <c:ptCount val="3"/>
                <c:pt idx="0">
                  <c:v>192</c:v>
                </c:pt>
                <c:pt idx="1">
                  <c:v>228</c:v>
                </c:pt>
                <c:pt idx="2">
                  <c:v>6</c:v>
                </c:pt>
              </c:numCache>
            </c:numRef>
          </c:val>
        </c:ser>
        <c:ser>
          <c:idx val="1"/>
          <c:order val="1"/>
          <c:tx>
            <c:strRef>
              <c:f>'[【数据制表】2023-2024学年本科教学质量报告.xlsx]学历学位情况'!$E$2</c:f>
              <c:strCache>
                <c:ptCount val="1"/>
                <c:pt idx="0">
                  <c:v>比例</c:v>
                </c:pt>
              </c:strCache>
            </c:strRef>
          </c:tx>
          <c:spPr>
            <a:ln w="19050">
              <a:solidFill>
                <a:schemeClr val="bg1"/>
              </a:solidFill>
            </a:ln>
            <a:scene3d>
              <a:camera prst="orthographicFront"/>
              <a:lightRig rig="threePt" dir="t"/>
            </a:scene3d>
            <a:sp3d contourW="19050"/>
          </c:spPr>
          <c:explosion val="0"/>
          <c:dPt>
            <c:idx val="0"/>
            <c:bubble3D val="0"/>
            <c:spPr>
              <a:solidFill>
                <a:schemeClr val="accent1"/>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Pt>
            <c:idx val="1"/>
            <c:bubble3D val="0"/>
            <c:spPr>
              <a:solidFill>
                <a:schemeClr val="accent2"/>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Pt>
            <c:idx val="2"/>
            <c:bubble3D val="0"/>
            <c:spPr>
              <a:solidFill>
                <a:schemeClr val="accent3"/>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Lbls>
            <c:numFmt formatCode="General" sourceLinked="1"/>
            <c:spPr>
              <a:noFill/>
              <a:ln>
                <a:noFill/>
              </a:ln>
              <a:effectLst/>
            </c:spPr>
            <c:txPr>
              <a:bodyPr rot="0" spcFirstLastPara="0" vertOverflow="ellipsis" vert="horz" wrap="square" lIns="38100" tIns="19050" rIns="38100" bIns="19050" anchor="ctr" anchorCtr="1"/>
              <a:lstStyle/>
              <a:p>
                <a:pPr>
                  <a:defRPr lang="zh-CN" sz="1000" b="1" i="0" u="none" strike="noStrike" kern="1200" baseline="0">
                    <a:solidFill>
                      <a:sysClr val="windowText" lastClr="000000"/>
                    </a:solidFill>
                    <a:latin typeface="+mn-lt"/>
                    <a:ea typeface="+mn-ea"/>
                    <a:cs typeface="+mn-cs"/>
                  </a:defRPr>
                </a:pPr>
              </a:p>
            </c:txPr>
            <c:dLblPos val="outEnd"/>
            <c:showLegendKey val="0"/>
            <c:showVal val="0"/>
            <c:showCatName val="1"/>
            <c:showSerName val="0"/>
            <c:showPercent val="1"/>
            <c:showBubbleSize val="0"/>
            <c:separator>
</c:separator>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prstDash val="solid"/>
                      <a:round/>
                    </a:ln>
                    <a:effectLst/>
                  </c:spPr>
                </c15:leaderLines>
              </c:ext>
            </c:extLst>
          </c:dLbls>
          <c:cat>
            <c:strRef>
              <c:f>'[【数据制表】2023-2024学年本科教学质量报告.xlsx]学历学位情况'!$C$3:$C$5</c:f>
              <c:strCache>
                <c:ptCount val="3"/>
                <c:pt idx="0">
                  <c:v>博士</c:v>
                </c:pt>
                <c:pt idx="1">
                  <c:v>硕士</c:v>
                </c:pt>
                <c:pt idx="2">
                  <c:v>其他</c:v>
                </c:pt>
              </c:strCache>
            </c:strRef>
          </c:cat>
          <c:val>
            <c:numRef>
              <c:f>'[【数据制表】2023-2024学年本科教学质量报告.xlsx]学历学位情况'!$E$3:$E$5</c:f>
              <c:numCache>
                <c:formatCode>0.00%</c:formatCode>
                <c:ptCount val="3"/>
                <c:pt idx="0">
                  <c:v>0.450704225352113</c:v>
                </c:pt>
                <c:pt idx="1">
                  <c:v>0.535211267605634</c:v>
                </c:pt>
                <c:pt idx="2">
                  <c:v>0.0140845070422535</c:v>
                </c:pt>
              </c:numCache>
            </c:numRef>
          </c:val>
        </c:ser>
        <c:dLbls>
          <c:showLegendKey val="0"/>
          <c:showVal val="0"/>
          <c:showCatName val="0"/>
          <c:showSerName val="0"/>
          <c:showPercent val="1"/>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noFill/>
      <a:prstDash val="solid"/>
      <a:round/>
    </a:ln>
    <a:effectLst/>
  </c:spPr>
  <c:txPr>
    <a:bodyPr/>
    <a:lstStyle/>
    <a:p>
      <a:pPr>
        <a:defRPr lang="zh-CN" b="1">
          <a:solidFill>
            <a:sysClr val="windowText" lastClr="000000"/>
          </a:solidFill>
        </a:defRPr>
      </a:pP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forceAA="0"/>
          <a:lstStyle/>
          <a:p>
            <a:pPr defTabSz="914400">
              <a:defRPr lang="zh-CN" sz="1400" b="1" i="0" u="none" strike="noStrike" kern="1200" cap="all" baseline="0">
                <a:solidFill>
                  <a:schemeClr val="tx1"/>
                </a:solidFill>
                <a:latin typeface="+mn-lt"/>
                <a:ea typeface="+mn-ea"/>
                <a:cs typeface="+mn-cs"/>
              </a:defRPr>
            </a:pPr>
            <a:r>
              <a:rPr sz="1200" b="1"/>
              <a:t>湖州学院专任教师年龄结构分布情况</a:t>
            </a:r>
            <a:endParaRPr sz="1200" b="1"/>
          </a:p>
        </c:rich>
      </c:tx>
      <c:layout>
        <c:manualLayout>
          <c:xMode val="edge"/>
          <c:yMode val="edge"/>
          <c:x val="0.181598230333195"/>
          <c:y val="0.0133475707421249"/>
        </c:manualLayout>
      </c:layout>
      <c:overlay val="0"/>
      <c:spPr>
        <a:noFill/>
        <a:ln>
          <a:noFill/>
        </a:ln>
        <a:effectLst/>
      </c:spPr>
    </c:title>
    <c:autoTitleDeleted val="0"/>
    <c:plotArea>
      <c:layout>
        <c:manualLayout>
          <c:layoutTarget val="inner"/>
          <c:xMode val="edge"/>
          <c:yMode val="edge"/>
          <c:x val="0.0852939639404233"/>
          <c:y val="0.195188533627343"/>
          <c:w val="0.829412072119153"/>
          <c:h val="0.689446527012128"/>
        </c:manualLayout>
      </c:layout>
      <c:pieChart>
        <c:varyColors val="1"/>
        <c:ser>
          <c:idx val="0"/>
          <c:order val="0"/>
          <c:tx>
            <c:strRef>
              <c:f>'[【数据制表】2023-2024学年本科教学质量报告.xlsx]年龄情况'!$C$14</c:f>
              <c:strCache>
                <c:ptCount val="1"/>
                <c:pt idx="0">
                  <c:v>人数</c:v>
                </c:pt>
              </c:strCache>
            </c:strRef>
          </c:tx>
          <c:spPr>
            <a:ln w="19050">
              <a:solidFill>
                <a:schemeClr val="bg1"/>
              </a:solidFill>
            </a:ln>
            <a:scene3d>
              <a:camera prst="orthographicFront"/>
              <a:lightRig rig="threePt" dir="t"/>
            </a:scene3d>
            <a:sp3d contourW="19050"/>
          </c:spPr>
          <c:explosion val="0"/>
          <c:dPt>
            <c:idx val="0"/>
            <c:bubble3D val="0"/>
            <c:spPr>
              <a:solidFill>
                <a:schemeClr val="accent1"/>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Pt>
            <c:idx val="1"/>
            <c:bubble3D val="0"/>
            <c:spPr>
              <a:solidFill>
                <a:schemeClr val="accent2"/>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Pt>
            <c:idx val="2"/>
            <c:bubble3D val="0"/>
            <c:spPr>
              <a:solidFill>
                <a:schemeClr val="accent3"/>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Pt>
            <c:idx val="3"/>
            <c:bubble3D val="0"/>
            <c:spPr>
              <a:solidFill>
                <a:schemeClr val="accent4"/>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Lbls>
            <c:dLbl>
              <c:idx val="0"/>
              <c:layout/>
              <c:tx>
                <c:rich>
                  <a:bodyPr rot="0" spcFirstLastPara="0" vertOverflow="ellipsis" vert="horz" wrap="square" lIns="38100" tIns="19050" rIns="38100" bIns="19050" anchor="ctr" anchorCtr="1" forceAA="0"/>
                  <a:lstStyle/>
                  <a:p>
                    <a:pPr defTabSz="914400">
                      <a:defRPr lang="zh-CN" sz="900" b="1" i="0" u="none" strike="noStrike" kern="1200" baseline="0">
                        <a:solidFill>
                          <a:sysClr val="windowText" lastClr="000000"/>
                        </a:solidFill>
                        <a:latin typeface="+mn-lt"/>
                        <a:ea typeface="+mn-ea"/>
                        <a:cs typeface="+mn-cs"/>
                      </a:defRPr>
                    </a:pPr>
                    <a:r>
                      <a:t>35岁及以下</a:t>
                    </a:r>
                  </a:p>
                  <a:p>
                    <a:pPr defTabSz="914400">
                      <a:defRPr lang="zh-CN" sz="900" b="1" i="0" u="none" strike="noStrike" kern="1200" baseline="0">
                        <a:solidFill>
                          <a:sysClr val="windowText" lastClr="000000"/>
                        </a:solidFill>
                        <a:latin typeface="+mn-lt"/>
                        <a:ea typeface="+mn-ea"/>
                        <a:cs typeface="+mn-cs"/>
                      </a:defRPr>
                    </a:pPr>
                    <a:r>
                      <a:rPr lang="en-US" altLang="zh-CN"/>
                      <a:t>40</a:t>
                    </a:r>
                    <a:r>
                      <a:t>%</a:t>
                    </a:r>
                  </a:p>
                </c:rich>
              </c:tx>
              <c:numFmt formatCode="General" sourceLinked="1"/>
              <c:spPr>
                <a:solidFill>
                  <a:srgbClr val="FFFFFF"/>
                </a:solidFill>
                <a:ln w="12700">
                  <a:solidFill>
                    <a:schemeClr val="accent1">
                      <a:lumMod val="75000"/>
                    </a:schemeClr>
                  </a:solidFill>
                </a:ln>
                <a:effectLst/>
              </c:spPr>
              <c:txPr>
                <a:bodyPr rot="0" spcFirstLastPara="0" vertOverflow="ellipsis" vert="horz" wrap="square" lIns="38100" tIns="19050" rIns="38100" bIns="19050" anchor="ctr" anchorCtr="1" forceAA="0"/>
                <a:lstStyle/>
                <a:p>
                  <a:pPr>
                    <a:defRPr lang="zh-CN" sz="900" b="1" i="0" u="none" strike="noStrike" kern="1200" baseline="0">
                      <a:solidFill>
                        <a:sysClr val="windowText" lastClr="000000"/>
                      </a:solidFill>
                      <a:latin typeface="+mn-lt"/>
                      <a:ea typeface="+mn-ea"/>
                      <a:cs typeface="+mn-cs"/>
                    </a:defRPr>
                  </a:pPr>
                </a:p>
              </c:txPr>
              <c:dLblPos val="outEnd"/>
              <c:showLegendKey val="0"/>
              <c:showVal val="0"/>
              <c:showCatName val="1"/>
              <c:showSerName val="0"/>
              <c:showPercent val="1"/>
              <c:showBubbleSize val="0"/>
              <c:separator>
</c:separator>
              <c:extLst>
                <c:ext xmlns:c15="http://schemas.microsoft.com/office/drawing/2012/chart" uri="{CE6537A1-D6FC-4f65-9D91-7224C49458BB}"/>
              </c:extLst>
            </c:dLbl>
            <c:dLbl>
              <c:idx val="1"/>
              <c:layout/>
              <c:tx>
                <c:rich>
                  <a:bodyPr rot="0" spcFirstLastPara="0" vertOverflow="ellipsis" vert="horz" wrap="square" lIns="38100" tIns="19050" rIns="38100" bIns="19050" anchor="ctr" anchorCtr="1" forceAA="0"/>
                  <a:lstStyle/>
                  <a:p>
                    <a:pPr defTabSz="914400">
                      <a:defRPr lang="zh-CN" sz="900" b="1" i="0" u="none" strike="noStrike" kern="1200" baseline="0">
                        <a:solidFill>
                          <a:sysClr val="windowText" lastClr="000000"/>
                        </a:solidFill>
                        <a:latin typeface="+mn-lt"/>
                        <a:ea typeface="+mn-ea"/>
                        <a:cs typeface="+mn-cs"/>
                      </a:defRPr>
                    </a:pPr>
                    <a:r>
                      <a:t>36-45岁</a:t>
                    </a:r>
                  </a:p>
                  <a:p>
                    <a:pPr defTabSz="914400">
                      <a:defRPr lang="zh-CN" sz="900" b="1" i="0" u="none" strike="noStrike" kern="1200" baseline="0">
                        <a:solidFill>
                          <a:sysClr val="windowText" lastClr="000000"/>
                        </a:solidFill>
                        <a:latin typeface="+mn-lt"/>
                        <a:ea typeface="+mn-ea"/>
                        <a:cs typeface="+mn-cs"/>
                      </a:defRPr>
                    </a:pPr>
                    <a:r>
                      <a:rPr lang="en-US" altLang="zh-CN"/>
                      <a:t>38</a:t>
                    </a:r>
                    <a:r>
                      <a:t>%</a:t>
                    </a:r>
                  </a:p>
                </c:rich>
              </c:tx>
              <c:numFmt formatCode="General" sourceLinked="1"/>
              <c:spPr>
                <a:solidFill>
                  <a:srgbClr val="FFFFFF"/>
                </a:solidFill>
                <a:ln w="12700">
                  <a:solidFill>
                    <a:schemeClr val="accent2">
                      <a:lumMod val="75000"/>
                    </a:schemeClr>
                  </a:solidFill>
                </a:ln>
                <a:effectLst/>
              </c:spPr>
              <c:txPr>
                <a:bodyPr rot="0" spcFirstLastPara="0" vertOverflow="ellipsis" vert="horz" wrap="square" lIns="38100" tIns="19050" rIns="38100" bIns="19050" anchor="ctr" anchorCtr="1" forceAA="0"/>
                <a:lstStyle/>
                <a:p>
                  <a:pPr>
                    <a:defRPr lang="zh-CN" sz="900" b="1" i="0" u="none" strike="noStrike" kern="1200" baseline="0">
                      <a:solidFill>
                        <a:sysClr val="windowText" lastClr="000000"/>
                      </a:solidFill>
                      <a:latin typeface="+mn-lt"/>
                      <a:ea typeface="+mn-ea"/>
                      <a:cs typeface="+mn-cs"/>
                    </a:defRPr>
                  </a:pPr>
                </a:p>
              </c:txPr>
              <c:dLblPos val="outEnd"/>
              <c:showLegendKey val="0"/>
              <c:showVal val="0"/>
              <c:showCatName val="1"/>
              <c:showSerName val="0"/>
              <c:showPercent val="1"/>
              <c:showBubbleSize val="0"/>
              <c:separator>
</c:separator>
              <c:extLst>
                <c:ext xmlns:c15="http://schemas.microsoft.com/office/drawing/2012/chart" uri="{CE6537A1-D6FC-4f65-9D91-7224C49458BB}"/>
              </c:extLst>
            </c:dLbl>
            <c:dLbl>
              <c:idx val="2"/>
              <c:layout>
                <c:manualLayout>
                  <c:x val="-0.00179731784874879"/>
                  <c:y val="0"/>
                </c:manualLayout>
              </c:layout>
              <c:tx>
                <c:rich>
                  <a:bodyPr rot="0" spcFirstLastPara="0" vertOverflow="ellipsis" vert="horz" wrap="square" lIns="38100" tIns="19050" rIns="38100" bIns="19050" anchor="ctr" anchorCtr="1" forceAA="0"/>
                  <a:lstStyle/>
                  <a:p>
                    <a:pPr defTabSz="914400">
                      <a:defRPr lang="zh-CN" sz="900" b="1" i="0" u="none" strike="noStrike" kern="1200" baseline="0">
                        <a:solidFill>
                          <a:sysClr val="windowText" lastClr="000000"/>
                        </a:solidFill>
                        <a:latin typeface="+mn-lt"/>
                        <a:ea typeface="+mn-ea"/>
                        <a:cs typeface="+mn-cs"/>
                      </a:defRPr>
                    </a:pPr>
                    <a:r>
                      <a:t>46-55岁</a:t>
                    </a:r>
                  </a:p>
                  <a:p>
                    <a:pPr defTabSz="914400">
                      <a:defRPr lang="zh-CN" sz="900" b="1" i="0" u="none" strike="noStrike" kern="1200" baseline="0">
                        <a:solidFill>
                          <a:sysClr val="windowText" lastClr="000000"/>
                        </a:solidFill>
                        <a:latin typeface="+mn-lt"/>
                        <a:ea typeface="+mn-ea"/>
                        <a:cs typeface="+mn-cs"/>
                      </a:defRPr>
                    </a:pPr>
                    <a:r>
                      <a:rPr lang="en-US" altLang="zh-CN"/>
                      <a:t>19</a:t>
                    </a:r>
                    <a:r>
                      <a:t>%</a:t>
                    </a:r>
                  </a:p>
                </c:rich>
              </c:tx>
              <c:numFmt formatCode="General" sourceLinked="1"/>
              <c:spPr>
                <a:solidFill>
                  <a:srgbClr val="FFFFFF"/>
                </a:solidFill>
                <a:ln w="12700">
                  <a:solidFill>
                    <a:schemeClr val="accent3">
                      <a:lumMod val="75000"/>
                    </a:schemeClr>
                  </a:solidFill>
                </a:ln>
                <a:effectLst/>
              </c:spPr>
              <c:txPr>
                <a:bodyPr rot="0" spcFirstLastPara="0" vertOverflow="ellipsis" vert="horz" wrap="square" lIns="38100" tIns="19050" rIns="38100" bIns="19050" anchor="ctr" anchorCtr="1" forceAA="0"/>
                <a:lstStyle/>
                <a:p>
                  <a:pPr>
                    <a:defRPr lang="zh-CN" sz="900" b="1" i="0" u="none" strike="noStrike" kern="1200" baseline="0">
                      <a:solidFill>
                        <a:sysClr val="windowText" lastClr="000000"/>
                      </a:solidFill>
                      <a:latin typeface="+mn-lt"/>
                      <a:ea typeface="+mn-ea"/>
                      <a:cs typeface="+mn-cs"/>
                    </a:defRPr>
                  </a:pPr>
                </a:p>
              </c:txPr>
              <c:dLblPos val="bestFit"/>
              <c:showLegendKey val="0"/>
              <c:showVal val="0"/>
              <c:showCatName val="1"/>
              <c:showSerName val="0"/>
              <c:showPercent val="1"/>
              <c:showBubbleSize val="0"/>
              <c:separator>
</c:separator>
              <c:extLst>
                <c:ext xmlns:c15="http://schemas.microsoft.com/office/drawing/2012/chart" uri="{CE6537A1-D6FC-4f65-9D91-7224C49458BB}">
                  <c15:layout/>
                </c:ext>
              </c:extLst>
            </c:dLbl>
            <c:dLbl>
              <c:idx val="3"/>
              <c:layout>
                <c:manualLayout>
                  <c:x val="0.164523710770082"/>
                  <c:y val="0.0686065136145221"/>
                </c:manualLayout>
              </c:layout>
              <c:numFmt formatCode="General" sourceLinked="1"/>
              <c:spPr>
                <a:solidFill>
                  <a:srgbClr val="FFFFFF"/>
                </a:solidFill>
                <a:ln w="12700">
                  <a:solidFill>
                    <a:schemeClr val="accent4">
                      <a:lumMod val="75000"/>
                    </a:schemeClr>
                  </a:solidFill>
                </a:ln>
                <a:effectLst/>
              </c:spPr>
              <c:txPr>
                <a:bodyPr rot="0" spcFirstLastPara="0" vertOverflow="ellipsis" vert="horz" wrap="square" lIns="38100" tIns="19050" rIns="38100" bIns="19050" anchor="ctr" anchorCtr="1" forceAA="0"/>
                <a:lstStyle/>
                <a:p>
                  <a:pPr>
                    <a:defRPr lang="zh-CN" sz="900" b="1" i="0" u="none" strike="noStrike" kern="1200" baseline="0">
                      <a:solidFill>
                        <a:sysClr val="windowText" lastClr="000000"/>
                      </a:solidFill>
                      <a:latin typeface="+mn-lt"/>
                      <a:ea typeface="+mn-ea"/>
                      <a:cs typeface="+mn-cs"/>
                    </a:defRPr>
                  </a:pPr>
                </a:p>
              </c:txPr>
              <c:dLblPos val="bestFit"/>
              <c:showLegendKey val="0"/>
              <c:showVal val="0"/>
              <c:showCatName val="1"/>
              <c:showSerName val="0"/>
              <c:showPercent val="1"/>
              <c:showBubbleSize val="0"/>
              <c:separator>
</c:separator>
              <c:extLst>
                <c:ext xmlns:c15="http://schemas.microsoft.com/office/drawing/2012/chart" uri="{CE6537A1-D6FC-4f65-9D91-7224C49458BB}">
                  <c15:layout/>
                </c:ext>
              </c:extLst>
            </c:dLbl>
            <c:numFmt formatCode="General" sourceLinked="1"/>
            <c:spPr>
              <a:solidFill>
                <a:srgbClr val="FFFFFF"/>
              </a:solidFill>
              <a:ln w="12700">
                <a:solidFill>
                  <a:srgbClr val="000000">
                    <a:lumMod val="65000"/>
                    <a:lumOff val="35000"/>
                  </a:srgbClr>
                </a:solidFill>
              </a:ln>
              <a:effectLst/>
            </c:spPr>
            <c:txPr>
              <a:bodyPr rot="0" spcFirstLastPara="0" vertOverflow="ellipsis" vert="horz" wrap="square" lIns="38100" tIns="19050" rIns="38100" bIns="19050" anchor="ctr" anchorCtr="1" forceAA="0"/>
              <a:lstStyle/>
              <a:p>
                <a:pPr>
                  <a:defRPr lang="zh-CN" sz="900" b="1" i="0" u="none" strike="noStrike" kern="1200" baseline="0">
                    <a:solidFill>
                      <a:sysClr val="windowText" lastClr="000000"/>
                    </a:solidFill>
                    <a:latin typeface="+mn-lt"/>
                    <a:ea typeface="+mn-ea"/>
                    <a:cs typeface="+mn-cs"/>
                  </a:defRPr>
                </a:pPr>
              </a:p>
            </c:txPr>
            <c:dLblPos val="outEnd"/>
            <c:showLegendKey val="0"/>
            <c:showVal val="0"/>
            <c:showCatName val="1"/>
            <c:showSerName val="0"/>
            <c:showPercent val="1"/>
            <c:showBubbleSize val="0"/>
            <c:separator>
</c:separator>
            <c:showLeaderLines val="1"/>
            <c:extLst>
              <c:ext xmlns:c15="http://schemas.microsoft.com/office/drawing/2012/chart" uri="{CE6537A1-D6FC-4f65-9D91-7224C49458BB}">
                <c15:spPr xmlns:c15="http://schemas.microsoft.com/office/drawing/2012/chart">
                  <a:prstGeom prst="roundRect">
                    <a:avLst/>
                  </a:prstGeom>
                  <a:noFill/>
                  <a:ln>
                    <a:noFill/>
                  </a:ln>
                </c15:spPr>
                <c15:layout/>
                <c15:showLeaderLines val="1"/>
                <c15:leaderLines>
                  <c:spPr>
                    <a:ln w="9525" cap="flat" cmpd="sng" algn="ctr">
                      <a:solidFill>
                        <a:schemeClr val="tx1">
                          <a:lumMod val="35000"/>
                          <a:lumOff val="65000"/>
                        </a:schemeClr>
                      </a:solidFill>
                      <a:prstDash val="solid"/>
                      <a:round/>
                    </a:ln>
                    <a:effectLst/>
                  </c:spPr>
                </c15:leaderLines>
              </c:ext>
            </c:extLst>
          </c:dLbls>
          <c:cat>
            <c:strRef>
              <c:f>'[【数据制表】2023-2024学年本科教学质量报告.xlsx]年龄情况'!$B$15:$B$18</c:f>
              <c:strCache>
                <c:ptCount val="4"/>
                <c:pt idx="0">
                  <c:v>35岁及以下</c:v>
                </c:pt>
                <c:pt idx="1">
                  <c:v>36-45岁</c:v>
                </c:pt>
                <c:pt idx="2">
                  <c:v>46-55岁</c:v>
                </c:pt>
                <c:pt idx="3">
                  <c:v>56岁及以上</c:v>
                </c:pt>
              </c:strCache>
            </c:strRef>
          </c:cat>
          <c:val>
            <c:numRef>
              <c:f>'[【数据制表】2023-2024学年本科教学质量报告.xlsx]年龄情况'!$C$15:$C$18</c:f>
              <c:numCache>
                <c:formatCode>General</c:formatCode>
                <c:ptCount val="4"/>
                <c:pt idx="0">
                  <c:v>156</c:v>
                </c:pt>
                <c:pt idx="1">
                  <c:v>172</c:v>
                </c:pt>
                <c:pt idx="2">
                  <c:v>87</c:v>
                </c:pt>
                <c:pt idx="3">
                  <c:v>11</c:v>
                </c:pt>
              </c:numCache>
            </c:numRef>
          </c:val>
        </c:ser>
        <c:ser>
          <c:idx val="1"/>
          <c:order val="1"/>
          <c:tx>
            <c:strRef>
              <c:f>'[【数据制表】2023-2024学年本科教学质量报告.xlsx]年龄情况'!$D$14</c:f>
              <c:strCache>
                <c:ptCount val="1"/>
                <c:pt idx="0">
                  <c:v>比例</c:v>
                </c:pt>
              </c:strCache>
            </c:strRef>
          </c:tx>
          <c:spPr>
            <a:ln w="19050">
              <a:solidFill>
                <a:schemeClr val="bg1"/>
              </a:solidFill>
            </a:ln>
            <a:scene3d>
              <a:camera prst="orthographicFront"/>
              <a:lightRig rig="threePt" dir="t"/>
            </a:scene3d>
            <a:sp3d contourW="19050"/>
          </c:spPr>
          <c:explosion val="0"/>
          <c:dPt>
            <c:idx val="0"/>
            <c:bubble3D val="0"/>
            <c:spPr>
              <a:solidFill>
                <a:schemeClr val="accent1"/>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Pt>
            <c:idx val="1"/>
            <c:bubble3D val="0"/>
            <c:spPr>
              <a:solidFill>
                <a:schemeClr val="accent2"/>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Pt>
            <c:idx val="2"/>
            <c:bubble3D val="0"/>
            <c:spPr>
              <a:solidFill>
                <a:schemeClr val="accent3"/>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Pt>
            <c:idx val="3"/>
            <c:bubble3D val="0"/>
            <c:spPr>
              <a:solidFill>
                <a:schemeClr val="accent4"/>
              </a:solidFill>
              <a:ln w="19050">
                <a:solidFill>
                  <a:schemeClr val="bg1"/>
                </a:solidFill>
              </a:ln>
              <a:effectLst>
                <a:outerShdw blurRad="88900" sx="102000" sy="102000" algn="ctr" rotWithShape="0">
                  <a:prstClr val="black">
                    <a:alpha val="10000"/>
                  </a:prstClr>
                </a:outerShdw>
              </a:effectLst>
              <a:scene3d>
                <a:camera prst="orthographicFront"/>
                <a:lightRig rig="threePt" dir="t"/>
              </a:scene3d>
              <a:sp3d contourW="19050"/>
            </c:spPr>
          </c:dPt>
          <c:dLbls>
            <c:numFmt formatCode="General" sourceLinked="1"/>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chemeClr val="tx1"/>
                    </a:solidFill>
                    <a:latin typeface="+mn-lt"/>
                    <a:ea typeface="+mn-ea"/>
                    <a:cs typeface="+mn-cs"/>
                  </a:defRPr>
                </a:pPr>
              </a:p>
            </c:txPr>
            <c:dLblPos val="outEnd"/>
            <c:showLegendKey val="0"/>
            <c:showVal val="0"/>
            <c:showCatName val="1"/>
            <c:showSerName val="0"/>
            <c:showPercent val="1"/>
            <c:showBubbleSize val="0"/>
            <c:separator>
</c:separator>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prstDash val="solid"/>
                      <a:round/>
                    </a:ln>
                    <a:effectLst/>
                  </c:spPr>
                </c15:leaderLines>
              </c:ext>
            </c:extLst>
          </c:dLbls>
          <c:cat>
            <c:strRef>
              <c:f>'[【数据制表】2023-2024学年本科教学质量报告.xlsx]年龄情况'!$B$15:$B$18</c:f>
              <c:strCache>
                <c:ptCount val="4"/>
                <c:pt idx="0">
                  <c:v>35岁及以下</c:v>
                </c:pt>
                <c:pt idx="1">
                  <c:v>36-45岁</c:v>
                </c:pt>
                <c:pt idx="2">
                  <c:v>46-55岁</c:v>
                </c:pt>
                <c:pt idx="3">
                  <c:v>56岁及以上</c:v>
                </c:pt>
              </c:strCache>
            </c:strRef>
          </c:cat>
          <c:val>
            <c:numRef>
              <c:f>'[【数据制表】2023-2024学年本科教学质量报告.xlsx]年龄情况'!$D$15:$D$18</c:f>
              <c:numCache>
                <c:formatCode>0.00%</c:formatCode>
                <c:ptCount val="4"/>
                <c:pt idx="0">
                  <c:v>0.366197183098592</c:v>
                </c:pt>
                <c:pt idx="1">
                  <c:v>0.403755868544601</c:v>
                </c:pt>
                <c:pt idx="2">
                  <c:v>0.204225352112676</c:v>
                </c:pt>
                <c:pt idx="3">
                  <c:v>0.0258215962441315</c:v>
                </c:pt>
              </c:numCache>
            </c:numRef>
          </c:val>
        </c:ser>
        <c:dLbls>
          <c:showLegendKey val="0"/>
          <c:showVal val="0"/>
          <c:showCatName val="0"/>
          <c:showSerName val="0"/>
          <c:showPercent val="1"/>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noFill/>
      <a:prstDash val="solid"/>
      <a:round/>
    </a:ln>
    <a:effectLst/>
  </c:spPr>
  <c:txPr>
    <a:bodyPr/>
    <a:lstStyle/>
    <a:p>
      <a:pPr>
        <a:defRPr lang="zh-CN"/>
      </a:pP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forceAA="0"/>
          <a:lstStyle/>
          <a:p>
            <a:pPr defTabSz="914400">
              <a:defRPr lang="zh-CN" sz="1400" b="1" i="0" u="none" strike="noStrike" kern="1200" spc="0" baseline="0">
                <a:solidFill>
                  <a:schemeClr val="tx1"/>
                </a:solidFill>
                <a:latin typeface="+mn-lt"/>
                <a:ea typeface="+mn-ea"/>
                <a:cs typeface="+mn-cs"/>
              </a:defRPr>
            </a:pPr>
            <a:r>
              <a:rPr sz="1200" b="1"/>
              <a:t>湖州学院师资队伍数量变化情况</a:t>
            </a:r>
            <a:endParaRPr sz="1200" b="1"/>
          </a:p>
        </c:rich>
      </c:tx>
      <c:layout/>
      <c:overlay val="0"/>
      <c:spPr>
        <a:noFill/>
        <a:ln>
          <a:noFill/>
        </a:ln>
        <a:effectLst/>
      </c:spPr>
    </c:title>
    <c:autoTitleDeleted val="0"/>
    <c:plotArea>
      <c:layout/>
      <c:barChart>
        <c:barDir val="bar"/>
        <c:grouping val="clustered"/>
        <c:varyColors val="0"/>
        <c:ser>
          <c:idx val="0"/>
          <c:order val="0"/>
          <c:tx>
            <c:strRef>
              <c:f>'[【数据制表】2023-2024学年本科教学质量报告.xlsx]增长情况'!$C$4</c:f>
              <c:strCache>
                <c:ptCount val="1"/>
                <c:pt idx="0">
                  <c:v>2021-2022学年</c:v>
                </c:pt>
              </c:strCache>
            </c:strRef>
          </c:tx>
          <c:spPr>
            <a:gradFill>
              <a:gsLst>
                <a:gs pos="80000">
                  <a:schemeClr val="accent1">
                    <a:lumMod val="60000"/>
                    <a:lumOff val="40000"/>
                  </a:schemeClr>
                </a:gs>
                <a:gs pos="0">
                  <a:schemeClr val="accent1"/>
                </a:gs>
              </a:gsLst>
              <a:lin ang="0" scaled="0"/>
            </a:gradFill>
            <a:ln>
              <a:noFill/>
            </a:ln>
            <a:effectLst/>
          </c:spPr>
          <c:invertIfNegative val="0"/>
          <c:dLbls>
            <c:numFmt formatCode="General" sourceLinked="1"/>
            <c:spPr>
              <a:noFill/>
              <a:ln>
                <a:noFill/>
              </a:ln>
              <a:effectLst/>
            </c:spPr>
            <c:txPr>
              <a:bodyPr rot="0" spcFirstLastPara="0" vertOverflow="ellipsis" vert="horz" wrap="square" lIns="38100" tIns="19050" rIns="38100" bIns="19050" anchor="ctr" anchorCtr="1" forceAA="0"/>
              <a:lstStyle/>
              <a:p>
                <a:pPr>
                  <a:defRPr lang="zh-CN" sz="900" b="1" i="0" u="none" strike="noStrike" kern="1200" baseline="0">
                    <a:solidFill>
                      <a:schemeClr val="tx1"/>
                    </a:solidFill>
                    <a:latin typeface="+mn-lt"/>
                    <a:ea typeface="+mn-ea"/>
                    <a:cs typeface="+mn-cs"/>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'[【数据制表】2023-2024学年本科教学质量报告.xlsx]增长情况'!$D$3:$H$3</c:f>
              <c:strCache>
                <c:ptCount val="5"/>
                <c:pt idx="0">
                  <c:v>专任教师总数</c:v>
                </c:pt>
                <c:pt idx="1">
                  <c:v>正高级</c:v>
                </c:pt>
                <c:pt idx="2">
                  <c:v>副高级</c:v>
                </c:pt>
                <c:pt idx="3">
                  <c:v>博士</c:v>
                </c:pt>
                <c:pt idx="4">
                  <c:v>硕士</c:v>
                </c:pt>
              </c:strCache>
            </c:strRef>
          </c:cat>
          <c:val>
            <c:numRef>
              <c:f>'[【数据制表】2023-2024学年本科教学质量报告.xlsx]增长情况'!$D$4:$H$4</c:f>
              <c:numCache>
                <c:formatCode>General</c:formatCode>
                <c:ptCount val="5"/>
                <c:pt idx="0">
                  <c:v>375</c:v>
                </c:pt>
                <c:pt idx="1">
                  <c:v>23</c:v>
                </c:pt>
                <c:pt idx="2">
                  <c:v>71</c:v>
                </c:pt>
                <c:pt idx="3">
                  <c:v>96</c:v>
                </c:pt>
                <c:pt idx="4">
                  <c:v>265</c:v>
                </c:pt>
              </c:numCache>
            </c:numRef>
          </c:val>
        </c:ser>
        <c:ser>
          <c:idx val="1"/>
          <c:order val="1"/>
          <c:tx>
            <c:strRef>
              <c:f>'[【数据制表】2023-2024学年本科教学质量报告.xlsx]增长情况'!$C$5</c:f>
              <c:strCache>
                <c:ptCount val="1"/>
                <c:pt idx="0">
                  <c:v>2022-2023学年</c:v>
                </c:pt>
              </c:strCache>
            </c:strRef>
          </c:tx>
          <c:spPr>
            <a:gradFill>
              <a:gsLst>
                <a:gs pos="80000">
                  <a:schemeClr val="accent2">
                    <a:lumMod val="60000"/>
                    <a:lumOff val="40000"/>
                  </a:schemeClr>
                </a:gs>
                <a:gs pos="0">
                  <a:schemeClr val="accent2"/>
                </a:gs>
              </a:gsLst>
              <a:lin ang="0" scaled="0"/>
            </a:gradFill>
            <a:ln>
              <a:noFill/>
            </a:ln>
            <a:effectLst/>
          </c:spPr>
          <c:invertIfNegative val="0"/>
          <c:dLbls>
            <c:numFmt formatCode="General" sourceLinked="1"/>
            <c:spPr>
              <a:noFill/>
              <a:ln>
                <a:noFill/>
              </a:ln>
              <a:effectLst/>
            </c:spPr>
            <c:txPr>
              <a:bodyPr rot="0" spcFirstLastPara="0" vertOverflow="ellipsis" vert="horz" wrap="square" lIns="38100" tIns="19050" rIns="38100" bIns="19050" anchor="ctr" anchorCtr="1" forceAA="0"/>
              <a:lstStyle/>
              <a:p>
                <a:pPr>
                  <a:defRPr lang="zh-CN" sz="900" b="1" i="0" u="none" strike="noStrike" kern="1200" baseline="0">
                    <a:solidFill>
                      <a:schemeClr val="tx1"/>
                    </a:solidFill>
                    <a:latin typeface="+mn-lt"/>
                    <a:ea typeface="+mn-ea"/>
                    <a:cs typeface="+mn-cs"/>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'[【数据制表】2023-2024学年本科教学质量报告.xlsx]增长情况'!$D$3:$H$3</c:f>
              <c:strCache>
                <c:ptCount val="5"/>
                <c:pt idx="0">
                  <c:v>专任教师总数</c:v>
                </c:pt>
                <c:pt idx="1">
                  <c:v>正高级</c:v>
                </c:pt>
                <c:pt idx="2">
                  <c:v>副高级</c:v>
                </c:pt>
                <c:pt idx="3">
                  <c:v>博士</c:v>
                </c:pt>
                <c:pt idx="4">
                  <c:v>硕士</c:v>
                </c:pt>
              </c:strCache>
            </c:strRef>
          </c:cat>
          <c:val>
            <c:numRef>
              <c:f>'[【数据制表】2023-2024学年本科教学质量报告.xlsx]增长情况'!$D$5:$H$5</c:f>
              <c:numCache>
                <c:formatCode>General</c:formatCode>
                <c:ptCount val="5"/>
                <c:pt idx="0">
                  <c:v>400</c:v>
                </c:pt>
                <c:pt idx="1">
                  <c:v>36</c:v>
                </c:pt>
                <c:pt idx="2">
                  <c:v>82</c:v>
                </c:pt>
                <c:pt idx="3">
                  <c:v>153</c:v>
                </c:pt>
                <c:pt idx="4">
                  <c:v>236</c:v>
                </c:pt>
              </c:numCache>
            </c:numRef>
          </c:val>
        </c:ser>
        <c:ser>
          <c:idx val="2"/>
          <c:order val="2"/>
          <c:tx>
            <c:strRef>
              <c:f>'[【数据制表】2023-2024学年本科教学质量报告.xlsx]增长情况'!$C$6</c:f>
              <c:strCache>
                <c:ptCount val="1"/>
                <c:pt idx="0">
                  <c:v>2023-2024学年</c:v>
                </c:pt>
              </c:strCache>
            </c:strRef>
          </c:tx>
          <c:spPr>
            <a:gradFill>
              <a:gsLst>
                <a:gs pos="80000">
                  <a:schemeClr val="accent3">
                    <a:lumMod val="60000"/>
                    <a:lumOff val="40000"/>
                  </a:schemeClr>
                </a:gs>
                <a:gs pos="0">
                  <a:schemeClr val="accent3"/>
                </a:gs>
              </a:gsLst>
              <a:lin ang="0" scaled="0"/>
            </a:gradFill>
            <a:ln>
              <a:noFill/>
            </a:ln>
            <a:effectLst/>
          </c:spPr>
          <c:invertIfNegative val="0"/>
          <c:dLbls>
            <c:numFmt formatCode="General" sourceLinked="1"/>
            <c:spPr>
              <a:noFill/>
              <a:ln>
                <a:noFill/>
              </a:ln>
              <a:effectLst/>
            </c:spPr>
            <c:txPr>
              <a:bodyPr rot="0" spcFirstLastPara="0" vertOverflow="ellipsis" vert="horz" wrap="square" lIns="38100" tIns="19050" rIns="38100" bIns="19050" anchor="ctr" anchorCtr="1" forceAA="0"/>
              <a:lstStyle/>
              <a:p>
                <a:pPr>
                  <a:defRPr lang="zh-CN" sz="900" b="1" i="0" u="none" strike="noStrike" kern="1200" baseline="0">
                    <a:solidFill>
                      <a:schemeClr val="tx1"/>
                    </a:solidFill>
                    <a:latin typeface="+mn-lt"/>
                    <a:ea typeface="+mn-ea"/>
                    <a:cs typeface="+mn-cs"/>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15:leaderLines>
                  <c:spPr>
                    <a:ln w="9525" cap="flat" cmpd="sng" algn="ctr">
                      <a:solidFill>
                        <a:schemeClr val="tx1">
                          <a:lumMod val="35000"/>
                          <a:lumOff val="65000"/>
                        </a:schemeClr>
                      </a:solidFill>
                      <a:round/>
                    </a:ln>
                    <a:effectLst/>
                  </c:spPr>
                </c15:leaderLines>
              </c:ext>
            </c:extLst>
          </c:dLbls>
          <c:cat>
            <c:strRef>
              <c:f>'[【数据制表】2023-2024学年本科教学质量报告.xlsx]增长情况'!$D$3:$H$3</c:f>
              <c:strCache>
                <c:ptCount val="5"/>
                <c:pt idx="0">
                  <c:v>专任教师总数</c:v>
                </c:pt>
                <c:pt idx="1">
                  <c:v>正高级</c:v>
                </c:pt>
                <c:pt idx="2">
                  <c:v>副高级</c:v>
                </c:pt>
                <c:pt idx="3">
                  <c:v>博士</c:v>
                </c:pt>
                <c:pt idx="4">
                  <c:v>硕士</c:v>
                </c:pt>
              </c:strCache>
            </c:strRef>
          </c:cat>
          <c:val>
            <c:numRef>
              <c:f>'[【数据制表】2023-2024学年本科教学质量报告.xlsx]增长情况'!$D$6:$H$6</c:f>
              <c:numCache>
                <c:formatCode>General</c:formatCode>
                <c:ptCount val="5"/>
                <c:pt idx="0">
                  <c:v>450</c:v>
                </c:pt>
                <c:pt idx="1">
                  <c:v>40</c:v>
                </c:pt>
                <c:pt idx="2">
                  <c:v>95</c:v>
                </c:pt>
                <c:pt idx="3">
                  <c:v>194</c:v>
                </c:pt>
                <c:pt idx="4">
                  <c:v>250</c:v>
                </c:pt>
              </c:numCache>
            </c:numRef>
          </c:val>
        </c:ser>
        <c:dLbls>
          <c:showLegendKey val="0"/>
          <c:showVal val="1"/>
          <c:showCatName val="0"/>
          <c:showSerName val="0"/>
          <c:showPercent val="0"/>
          <c:showBubbleSize val="0"/>
        </c:dLbls>
        <c:gapWidth val="150"/>
        <c:overlap val="-25"/>
        <c:axId val="646293275"/>
        <c:axId val="426555293"/>
      </c:barChart>
      <c:catAx>
        <c:axId val="646293275"/>
        <c:scaling>
          <c:orientation val="minMax"/>
        </c:scaling>
        <c:delete val="0"/>
        <c:axPos val="l"/>
        <c:numFmt formatCode="General" sourceLinked="1"/>
        <c:majorTickMark val="none"/>
        <c:minorTickMark val="none"/>
        <c:tickLblPos val="nextTo"/>
        <c:spPr>
          <a:noFill/>
          <a:ln w="9525" cap="flat" cmpd="sng" algn="ctr">
            <a:solidFill>
              <a:schemeClr val="bg1">
                <a:lumMod val="85000"/>
              </a:schemeClr>
            </a:solidFill>
            <a:round/>
          </a:ln>
          <a:effectLst/>
        </c:spPr>
        <c:txPr>
          <a:bodyPr rot="-60000000" spcFirstLastPara="0" vertOverflow="ellipsis" vert="horz" wrap="square" anchor="ctr" anchorCtr="1" forceAA="0"/>
          <a:lstStyle/>
          <a:p>
            <a:pPr>
              <a:defRPr lang="zh-CN" sz="900" b="1" i="0" u="none" strike="noStrike" kern="1200" baseline="0">
                <a:solidFill>
                  <a:schemeClr val="tx1"/>
                </a:solidFill>
                <a:latin typeface="+mn-lt"/>
                <a:ea typeface="+mn-ea"/>
                <a:cs typeface="+mn-cs"/>
              </a:defRPr>
            </a:pPr>
          </a:p>
        </c:txPr>
        <c:crossAx val="426555293"/>
        <c:crosses val="autoZero"/>
        <c:auto val="1"/>
        <c:lblAlgn val="ctr"/>
        <c:lblOffset val="100"/>
        <c:noMultiLvlLbl val="0"/>
      </c:catAx>
      <c:valAx>
        <c:axId val="426555293"/>
        <c:scaling>
          <c:orientation val="minMax"/>
        </c:scaling>
        <c:delete val="1"/>
        <c:axPos val="b"/>
        <c:numFmt formatCode="General" sourceLinked="1"/>
        <c:majorTickMark val="none"/>
        <c:minorTickMark val="none"/>
        <c:tickLblPos val="nextTo"/>
        <c:txPr>
          <a:bodyPr rot="-60000000" spcFirstLastPara="0" vertOverflow="ellipsis" vert="horz" wrap="square" anchor="ctr" anchorCtr="1" forceAA="0"/>
          <a:lstStyle/>
          <a:p>
            <a:pPr>
              <a:defRPr lang="zh-CN" sz="900" b="1" i="0" u="none" strike="noStrike" kern="1200" baseline="0">
                <a:solidFill>
                  <a:schemeClr val="tx1">
                    <a:lumMod val="50000"/>
                    <a:lumOff val="50000"/>
                  </a:schemeClr>
                </a:solidFill>
                <a:latin typeface="+mn-lt"/>
                <a:ea typeface="+mn-ea"/>
                <a:cs typeface="+mn-cs"/>
              </a:defRPr>
            </a:pPr>
          </a:p>
        </c:txPr>
        <c:crossAx val="646293275"/>
        <c:crosses val="autoZero"/>
        <c:crossBetween val="between"/>
      </c:valAx>
      <c:spPr>
        <a:noFill/>
        <a:ln>
          <a:noFill/>
        </a:ln>
        <a:effectLst/>
      </c:spPr>
    </c:plotArea>
    <c:legend>
      <c:legendPos val="t"/>
      <c:legendEntry>
        <c:idx val="0"/>
        <c:txPr>
          <a:bodyPr rot="0" spcFirstLastPara="0" vertOverflow="ellipsis" vert="horz" wrap="square" anchor="ctr" anchorCtr="1"/>
          <a:lstStyle/>
          <a:p>
            <a:pPr>
              <a:defRPr lang="zh-CN" sz="900" b="1" i="0" u="none" strike="noStrike" kern="1200" baseline="0">
                <a:solidFill>
                  <a:schemeClr val="tx1"/>
                </a:solidFill>
                <a:latin typeface="+mn-lt"/>
                <a:ea typeface="+mn-ea"/>
                <a:cs typeface="+mn-cs"/>
              </a:defRPr>
            </a:pPr>
          </a:p>
        </c:txPr>
      </c:legendEntry>
      <c:legendEntry>
        <c:idx val="1"/>
        <c:txPr>
          <a:bodyPr rot="0" spcFirstLastPara="0" vertOverflow="ellipsis" vert="horz" wrap="square" anchor="ctr" anchorCtr="1"/>
          <a:lstStyle/>
          <a:p>
            <a:pPr>
              <a:defRPr lang="zh-CN" sz="900" b="1" i="0" u="none" strike="noStrike" kern="1200" baseline="0">
                <a:solidFill>
                  <a:schemeClr val="tx1"/>
                </a:solidFill>
                <a:latin typeface="+mn-lt"/>
                <a:ea typeface="+mn-ea"/>
                <a:cs typeface="+mn-cs"/>
              </a:defRPr>
            </a:pPr>
          </a:p>
        </c:txPr>
      </c:legendEntry>
      <c:legendEntry>
        <c:idx val="2"/>
        <c:txPr>
          <a:bodyPr rot="0" spcFirstLastPara="0" vertOverflow="ellipsis" vert="horz" wrap="square" anchor="ctr" anchorCtr="1"/>
          <a:lstStyle/>
          <a:p>
            <a:pPr>
              <a:defRPr lang="zh-CN" sz="900" b="1" i="0" u="none" strike="noStrike" kern="1200" baseline="0">
                <a:solidFill>
                  <a:schemeClr val="tx1"/>
                </a:solidFill>
                <a:latin typeface="+mn-lt"/>
                <a:ea typeface="+mn-ea"/>
                <a:cs typeface="+mn-cs"/>
              </a:defRPr>
            </a:pPr>
          </a:p>
        </c:txPr>
      </c:legendEntry>
      <c:layout/>
      <c:overlay val="0"/>
      <c:spPr>
        <a:noFill/>
        <a:ln>
          <a:noFill/>
        </a:ln>
        <a:effectLst/>
      </c:spPr>
      <c:txPr>
        <a:bodyPr rot="0" spcFirstLastPara="0" vertOverflow="ellipsis" vert="horz" wrap="square" anchor="ctr" anchorCtr="1" forceAA="0"/>
        <a:lstStyle/>
        <a:p>
          <a:pPr>
            <a:defRPr lang="zh-CN" sz="900" b="1" i="0" u="none" strike="noStrike" kern="1200" baseline="0">
              <a:solidFill>
                <a:schemeClr val="tx1"/>
              </a:solidFill>
              <a:latin typeface="+mn-lt"/>
              <a:ea typeface="+mn-ea"/>
              <a:cs typeface="+mn-cs"/>
            </a:defRPr>
          </a:pPr>
        </a:p>
      </c:txPr>
    </c:legend>
    <c:plotVisOnly val="1"/>
    <c:dispBlanksAs val="gap"/>
    <c:showDLblsOverMax val="0"/>
  </c:chart>
  <c:spPr>
    <a:noFill/>
    <a:ln w="9525" cap="flat" cmpd="sng" algn="ctr">
      <a:noFill/>
      <a:round/>
    </a:ln>
    <a:effectLst/>
  </c:spPr>
  <c:txPr>
    <a:bodyPr/>
    <a:lstStyle/>
    <a:p>
      <a:pPr>
        <a:defRPr lang="zh-CN" b="1"/>
      </a:pPr>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34</Pages>
  <Words>4993</Words>
  <Characters>5620</Characters>
  <Lines>0</Lines>
  <Paragraphs>0</Paragraphs>
  <TotalTime>24</TotalTime>
  <ScaleCrop>false</ScaleCrop>
  <LinksUpToDate>false</LinksUpToDate>
  <CharactersWithSpaces>5767</CharactersWithSpaces>
  <Application>WPS Office_11.8.2.10154_F1E327BC-269C-435d-A152-05C5408002CA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2024-10-26T22:38:00Z</dcterms:created>
  <dc:creator>杨国庆</dc:creator>
  <cp:lastModifiedBy>杨国庆</cp:lastModifiedBy>
  <cp:lastPrinted>2024-11-21T08:23:00Z</cp:lastPrinted>
  <dcterms:modified xsi:type="dcterms:W3CDTF">2024-11-29T02:58:02Z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2052-11.8.2.10154</vt:lpwstr>
  </property>
  <property fmtid="{D5CDD505-2E9C-101B-9397-08002B2CF9AE}" pid="3" name="ICV">
    <vt:lpwstr>9E1BFC39E7FD4808AE2B543E0D5DFDCD_13</vt:lpwstr>
  </property>
</Properties>
</file>